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6089" w:type="dxa"/>
        <w:jc w:val="center"/>
        <w:tblLook w:val="01E0" w:firstRow="1" w:lastRow="1" w:firstColumn="1" w:lastColumn="1" w:noHBand="0" w:noVBand="0"/>
      </w:tblPr>
      <w:tblGrid>
        <w:gridCol w:w="3402"/>
        <w:gridCol w:w="2687"/>
      </w:tblGrid>
      <w:tr w:rsidR="00C73846" w:rsidRPr="00D00A43" w14:paraId="4F1FD7C2" w14:textId="77777777" w:rsidTr="00C73846">
        <w:trPr>
          <w:jc w:val="center"/>
        </w:trPr>
        <w:tc>
          <w:tcPr>
            <w:tcW w:w="3402" w:type="dxa"/>
          </w:tcPr>
          <w:p w14:paraId="18BD72E5" w14:textId="77777777" w:rsidR="00C73846" w:rsidRPr="00D00A43" w:rsidRDefault="00C73846" w:rsidP="00414B8F">
            <w:pPr>
              <w:spacing w:line="340" w:lineRule="exact"/>
              <w:ind w:firstLine="0"/>
              <w:jc w:val="center"/>
              <w:rPr>
                <w:lang w:eastAsia="vi-VN"/>
              </w:rPr>
            </w:pPr>
            <w:bookmarkStart w:id="0" w:name="_Hlk86007686"/>
            <w:bookmarkStart w:id="1" w:name="_Hlk189983481"/>
            <w:bookmarkEnd w:id="1"/>
            <w:r w:rsidRPr="00D00A43">
              <w:rPr>
                <w:lang w:eastAsia="vi-VN"/>
              </w:rPr>
              <w:t>MINISTRY OF EDUCATION AND TRAINING</w:t>
            </w:r>
          </w:p>
        </w:tc>
        <w:tc>
          <w:tcPr>
            <w:tcW w:w="2687" w:type="dxa"/>
          </w:tcPr>
          <w:p w14:paraId="36ED77F6" w14:textId="77777777" w:rsidR="00C73846" w:rsidRPr="00D00A43" w:rsidRDefault="00C73846" w:rsidP="00414B8F">
            <w:pPr>
              <w:spacing w:line="340" w:lineRule="exact"/>
              <w:ind w:firstLine="0"/>
              <w:jc w:val="right"/>
              <w:rPr>
                <w:lang w:eastAsia="vi-VN"/>
              </w:rPr>
            </w:pPr>
            <w:r w:rsidRPr="00D00A43">
              <w:rPr>
                <w:lang w:eastAsia="vi-VN"/>
              </w:rPr>
              <w:t>MINISTRY OF DEFENSE</w:t>
            </w:r>
          </w:p>
        </w:tc>
      </w:tr>
      <w:tr w:rsidR="00C73846" w:rsidRPr="00D00A43" w14:paraId="493365B6" w14:textId="77777777" w:rsidTr="00C73846">
        <w:trPr>
          <w:jc w:val="center"/>
        </w:trPr>
        <w:tc>
          <w:tcPr>
            <w:tcW w:w="6089" w:type="dxa"/>
            <w:gridSpan w:val="2"/>
          </w:tcPr>
          <w:p w14:paraId="13A4FA95" w14:textId="77777777" w:rsidR="00C73846" w:rsidRPr="006D3729" w:rsidRDefault="00C73846" w:rsidP="00414B8F">
            <w:pPr>
              <w:tabs>
                <w:tab w:val="center" w:pos="2835"/>
                <w:tab w:val="center" w:pos="4111"/>
                <w:tab w:val="center" w:pos="5954"/>
              </w:tabs>
              <w:spacing w:line="340" w:lineRule="exact"/>
              <w:ind w:firstLine="36"/>
              <w:jc w:val="center"/>
              <w:rPr>
                <w:rFonts w:eastAsia="Times New Roman"/>
                <w:b/>
              </w:rPr>
            </w:pPr>
            <w:r>
              <w:rPr>
                <w:rFonts w:eastAsia="Times New Roman"/>
                <w:b/>
              </w:rPr>
              <w:t xml:space="preserve">VIETNAM </w:t>
            </w:r>
            <w:r w:rsidRPr="006D3729">
              <w:rPr>
                <w:rFonts w:eastAsia="Times New Roman"/>
                <w:b/>
              </w:rPr>
              <w:t xml:space="preserve">MILITARY MEDICAL </w:t>
            </w:r>
            <w:r>
              <w:rPr>
                <w:rFonts w:eastAsia="Times New Roman"/>
                <w:b/>
              </w:rPr>
              <w:t>UNIVERSITY</w:t>
            </w:r>
          </w:p>
          <w:p w14:paraId="3B2DD615" w14:textId="77777777" w:rsidR="00C73846" w:rsidRPr="006D3729" w:rsidRDefault="00C73846" w:rsidP="00414B8F">
            <w:pPr>
              <w:tabs>
                <w:tab w:val="center" w:pos="2835"/>
                <w:tab w:val="center" w:pos="4111"/>
                <w:tab w:val="center" w:pos="5954"/>
              </w:tabs>
              <w:spacing w:line="340" w:lineRule="exact"/>
              <w:ind w:firstLine="36"/>
              <w:jc w:val="center"/>
              <w:rPr>
                <w:rFonts w:eastAsia="Times New Roman"/>
              </w:rPr>
            </w:pPr>
            <w:r w:rsidRPr="006D3729">
              <w:rPr>
                <w:rFonts w:eastAsia="Times New Roman"/>
              </w:rPr>
              <w:t xml:space="preserve">=== </w:t>
            </w:r>
            <w:r w:rsidRPr="006D3729">
              <w:rPr>
                <w:rFonts w:eastAsia="Times New Roman"/>
                <w:vertAlign w:val="subscript"/>
              </w:rPr>
              <w:t xml:space="preserve">* </w:t>
            </w:r>
            <w:r w:rsidRPr="006D3729">
              <w:rPr>
                <w:rFonts w:eastAsia="Times New Roman"/>
                <w:vertAlign w:val="superscript"/>
              </w:rPr>
              <w:t xml:space="preserve">* </w:t>
            </w:r>
            <w:r w:rsidRPr="006D3729">
              <w:rPr>
                <w:rFonts w:eastAsia="Times New Roman"/>
                <w:vertAlign w:val="subscript"/>
              </w:rPr>
              <w:t xml:space="preserve">* </w:t>
            </w:r>
            <w:r w:rsidRPr="006D3729">
              <w:rPr>
                <w:rFonts w:eastAsia="Times New Roman"/>
              </w:rPr>
              <w:t>===</w:t>
            </w:r>
          </w:p>
          <w:p w14:paraId="687AC70E" w14:textId="77777777" w:rsidR="00C73846" w:rsidRPr="00D00A43" w:rsidRDefault="00C73846" w:rsidP="00414B8F">
            <w:pPr>
              <w:spacing w:line="340" w:lineRule="exact"/>
              <w:ind w:firstLine="0"/>
              <w:jc w:val="center"/>
              <w:rPr>
                <w:b/>
                <w:bCs/>
                <w:lang w:eastAsia="vi-VN"/>
              </w:rPr>
            </w:pPr>
          </w:p>
        </w:tc>
      </w:tr>
    </w:tbl>
    <w:p w14:paraId="79BF05FD" w14:textId="77777777" w:rsidR="00103BA0" w:rsidRPr="00AD5DCE" w:rsidRDefault="00103BA0" w:rsidP="004D0367">
      <w:pPr>
        <w:spacing w:line="340" w:lineRule="exact"/>
      </w:pPr>
    </w:p>
    <w:p w14:paraId="6954D223" w14:textId="0DF53286" w:rsidR="00103BA0" w:rsidRPr="00AD5DCE" w:rsidRDefault="00762962" w:rsidP="004D0367">
      <w:pPr>
        <w:spacing w:line="340" w:lineRule="exact"/>
        <w:rPr>
          <w:b/>
          <w:bCs/>
        </w:rPr>
      </w:pPr>
      <w:r w:rsidRPr="00AD5DCE">
        <w:tab/>
      </w:r>
    </w:p>
    <w:p w14:paraId="4FD34E1E" w14:textId="7E08C54C" w:rsidR="00CC2506" w:rsidRPr="00182DC6" w:rsidRDefault="00182DC6" w:rsidP="00182DC6">
      <w:pPr>
        <w:spacing w:line="340" w:lineRule="exact"/>
        <w:rPr>
          <w:b/>
          <w:bCs/>
          <w:lang w:val="vi-VN"/>
        </w:rPr>
      </w:pPr>
      <w:r>
        <w:rPr>
          <w:b/>
          <w:bCs/>
          <w:lang w:val="vi-VN"/>
        </w:rPr>
        <w:t xml:space="preserve">                            </w:t>
      </w:r>
      <w:r>
        <w:rPr>
          <w:b/>
          <w:bCs/>
        </w:rPr>
        <w:t>PHAM</w:t>
      </w:r>
      <w:r>
        <w:rPr>
          <w:b/>
          <w:bCs/>
          <w:lang w:val="vi-VN"/>
        </w:rPr>
        <w:t xml:space="preserve"> XUAN HUY</w:t>
      </w:r>
    </w:p>
    <w:p w14:paraId="3810A13C" w14:textId="77777777" w:rsidR="00CC2506" w:rsidRPr="00AD5DCE" w:rsidRDefault="00CC2506" w:rsidP="004D0367">
      <w:pPr>
        <w:spacing w:line="340" w:lineRule="exact"/>
      </w:pPr>
    </w:p>
    <w:p w14:paraId="5769726C" w14:textId="77777777" w:rsidR="00FA1A29" w:rsidRPr="00AD5DCE" w:rsidRDefault="00FA1A29" w:rsidP="004D0367">
      <w:pPr>
        <w:spacing w:line="340" w:lineRule="exact"/>
        <w:ind w:firstLine="0"/>
      </w:pPr>
    </w:p>
    <w:p w14:paraId="3BB47DCD" w14:textId="77777777" w:rsidR="00645C14" w:rsidRPr="00AD5DCE" w:rsidRDefault="00645C14" w:rsidP="004D0367">
      <w:pPr>
        <w:spacing w:line="340" w:lineRule="exact"/>
        <w:ind w:firstLine="0"/>
      </w:pPr>
    </w:p>
    <w:p w14:paraId="307B0362" w14:textId="6380EAA5" w:rsidR="00A40BEA" w:rsidRPr="00AD5DCE" w:rsidRDefault="008C22AA" w:rsidP="008C22AA">
      <w:pPr>
        <w:spacing w:line="340" w:lineRule="exact"/>
        <w:ind w:firstLine="0"/>
        <w:jc w:val="center"/>
        <w:rPr>
          <w:b/>
          <w:lang w:val="vi-VN"/>
        </w:rPr>
      </w:pPr>
      <w:r w:rsidRPr="00AD5DCE">
        <w:rPr>
          <w:b/>
        </w:rPr>
        <w:t xml:space="preserve">STUDY ON HBV </w:t>
      </w:r>
      <w:r w:rsidR="00EF225C">
        <w:rPr>
          <w:b/>
          <w:i/>
          <w:iCs/>
        </w:rPr>
        <w:t>preS</w:t>
      </w:r>
      <w:r w:rsidR="005B5D37" w:rsidRPr="005B5D37">
        <w:rPr>
          <w:b/>
          <w:i/>
          <w:iCs/>
        </w:rPr>
        <w:t>/S</w:t>
      </w:r>
      <w:r w:rsidRPr="00AD5DCE">
        <w:rPr>
          <w:b/>
        </w:rPr>
        <w:t xml:space="preserve"> GENE MUTATIONS AND </w:t>
      </w:r>
      <w:r w:rsidR="00374D18" w:rsidRPr="00374D18">
        <w:rPr>
          <w:b/>
          <w:i/>
          <w:iCs/>
        </w:rPr>
        <w:t>SLC10A1</w:t>
      </w:r>
      <w:r w:rsidRPr="00AD5DCE">
        <w:rPr>
          <w:b/>
        </w:rPr>
        <w:t xml:space="preserve"> GENE VARIANTS IN PATIENTS WITH </w:t>
      </w:r>
      <w:r w:rsidR="00374D18">
        <w:rPr>
          <w:b/>
        </w:rPr>
        <w:t>HBsAg</w:t>
      </w:r>
      <w:r w:rsidRPr="00AD5DCE">
        <w:rPr>
          <w:b/>
        </w:rPr>
        <w:t>-POSITIVE HEPATOCELLULAR CARCINOMA</w:t>
      </w:r>
    </w:p>
    <w:p w14:paraId="1D72F74E" w14:textId="77777777" w:rsidR="008C22AA" w:rsidRPr="00AD5DCE" w:rsidRDefault="008C22AA" w:rsidP="008C22AA">
      <w:pPr>
        <w:spacing w:line="340" w:lineRule="exact"/>
        <w:ind w:firstLine="0"/>
        <w:jc w:val="center"/>
        <w:rPr>
          <w:b/>
          <w:lang w:val="vi-VN"/>
        </w:rPr>
      </w:pPr>
    </w:p>
    <w:p w14:paraId="5BFC905A" w14:textId="77777777" w:rsidR="008C22AA" w:rsidRPr="00AD5DCE" w:rsidRDefault="008C22AA" w:rsidP="008C22AA">
      <w:pPr>
        <w:spacing w:line="340" w:lineRule="exact"/>
        <w:ind w:firstLine="0"/>
        <w:jc w:val="center"/>
        <w:rPr>
          <w:lang w:val="vi-VN"/>
        </w:rPr>
      </w:pPr>
    </w:p>
    <w:p w14:paraId="3C450B70" w14:textId="066F918A" w:rsidR="00820108" w:rsidRPr="00AD5DCE" w:rsidRDefault="00F76A65" w:rsidP="004D0367">
      <w:pPr>
        <w:spacing w:line="340" w:lineRule="exact"/>
        <w:ind w:firstLine="0"/>
        <w:jc w:val="center"/>
        <w:rPr>
          <w:b/>
          <w:bCs/>
        </w:rPr>
      </w:pPr>
      <w:r w:rsidRPr="00AD5DCE">
        <w:rPr>
          <w:b/>
          <w:bCs/>
        </w:rPr>
        <w:t>Training:</w:t>
      </w:r>
      <w:r w:rsidR="00820108" w:rsidRPr="00AD5DCE">
        <w:rPr>
          <w:b/>
          <w:bCs/>
        </w:rPr>
        <w:t xml:space="preserve"> </w:t>
      </w:r>
      <w:r w:rsidR="008C22AA" w:rsidRPr="00AD5DCE">
        <w:rPr>
          <w:b/>
          <w:bCs/>
        </w:rPr>
        <w:t>Biomedical Science</w:t>
      </w:r>
    </w:p>
    <w:p w14:paraId="3FD4A439" w14:textId="752DB4B1" w:rsidR="00820108" w:rsidRPr="00AD5DCE" w:rsidRDefault="0049643F" w:rsidP="004D0367">
      <w:pPr>
        <w:spacing w:line="340" w:lineRule="exact"/>
        <w:ind w:firstLine="0"/>
        <w:jc w:val="center"/>
        <w:rPr>
          <w:b/>
          <w:bCs/>
        </w:rPr>
      </w:pPr>
      <w:r>
        <w:rPr>
          <w:b/>
          <w:bCs/>
        </w:rPr>
        <w:t>Code</w:t>
      </w:r>
      <w:r w:rsidR="00820108" w:rsidRPr="00AD5DCE">
        <w:rPr>
          <w:b/>
          <w:bCs/>
        </w:rPr>
        <w:t xml:space="preserve">: 9 72 01 </w:t>
      </w:r>
      <w:r w:rsidR="008C22AA" w:rsidRPr="00AD5DCE">
        <w:rPr>
          <w:b/>
          <w:bCs/>
        </w:rPr>
        <w:t>01</w:t>
      </w:r>
    </w:p>
    <w:p w14:paraId="7C1F8BB1" w14:textId="77777777" w:rsidR="00FA1A29" w:rsidRPr="00AD5DCE" w:rsidRDefault="00FA1A29" w:rsidP="00645C14">
      <w:pPr>
        <w:spacing w:line="340" w:lineRule="exact"/>
        <w:ind w:firstLine="0"/>
      </w:pPr>
    </w:p>
    <w:p w14:paraId="17A7EEF0" w14:textId="77777777" w:rsidR="003D46D5" w:rsidRPr="00AD5DCE" w:rsidRDefault="00BD7440" w:rsidP="004D0367">
      <w:pPr>
        <w:spacing w:line="340" w:lineRule="exact"/>
        <w:rPr>
          <w:lang w:val="vi-VN"/>
        </w:rPr>
      </w:pPr>
      <w:r w:rsidRPr="00AD5DCE">
        <w:tab/>
      </w:r>
    </w:p>
    <w:p w14:paraId="7DD41343" w14:textId="77777777" w:rsidR="008C22AA" w:rsidRPr="00AD5DCE" w:rsidRDefault="008C22AA" w:rsidP="004D0367">
      <w:pPr>
        <w:spacing w:line="340" w:lineRule="exact"/>
        <w:rPr>
          <w:lang w:val="vi-VN"/>
        </w:rPr>
      </w:pPr>
    </w:p>
    <w:p w14:paraId="5AF80B9E" w14:textId="517E48CA" w:rsidR="00BD7440" w:rsidRPr="00AD5DCE" w:rsidRDefault="00F76A65" w:rsidP="00F76A65">
      <w:pPr>
        <w:spacing w:line="340" w:lineRule="exact"/>
        <w:ind w:firstLine="0"/>
        <w:jc w:val="center"/>
      </w:pPr>
      <w:r w:rsidRPr="00AD5DCE">
        <w:rPr>
          <w:b/>
          <w:bCs/>
        </w:rPr>
        <w:t xml:space="preserve">SUMMARY OF </w:t>
      </w:r>
      <w:r w:rsidR="00D2092E" w:rsidRPr="00AD5DCE">
        <w:rPr>
          <w:b/>
          <w:bCs/>
        </w:rPr>
        <w:t xml:space="preserve">THE </w:t>
      </w:r>
      <w:r w:rsidRPr="00AD5DCE">
        <w:rPr>
          <w:b/>
          <w:bCs/>
        </w:rPr>
        <w:t>DOCTOR OF MEDICINE THESIS</w:t>
      </w:r>
    </w:p>
    <w:p w14:paraId="5042C749" w14:textId="77777777" w:rsidR="00FA1A29" w:rsidRPr="00AD5DCE" w:rsidRDefault="00FA1A29" w:rsidP="004D0367">
      <w:pPr>
        <w:spacing w:line="340" w:lineRule="exact"/>
        <w:ind w:firstLine="0"/>
      </w:pPr>
    </w:p>
    <w:p w14:paraId="64ACC157" w14:textId="77777777" w:rsidR="00645C14" w:rsidRPr="00AD5DCE" w:rsidRDefault="00645C14" w:rsidP="004D0367">
      <w:pPr>
        <w:spacing w:line="340" w:lineRule="exact"/>
        <w:ind w:firstLine="0"/>
      </w:pPr>
    </w:p>
    <w:p w14:paraId="647E6698" w14:textId="77777777" w:rsidR="00645C14" w:rsidRPr="00AD5DCE" w:rsidRDefault="00645C14" w:rsidP="004D0367">
      <w:pPr>
        <w:spacing w:line="340" w:lineRule="exact"/>
        <w:ind w:firstLine="0"/>
      </w:pPr>
    </w:p>
    <w:p w14:paraId="60FBBFB6" w14:textId="77777777" w:rsidR="00645C14" w:rsidRPr="00AD5DCE" w:rsidRDefault="00645C14" w:rsidP="004D0367">
      <w:pPr>
        <w:spacing w:line="340" w:lineRule="exact"/>
        <w:ind w:firstLine="0"/>
      </w:pPr>
    </w:p>
    <w:p w14:paraId="4508BC9C" w14:textId="77777777" w:rsidR="00FA1A29" w:rsidRPr="00AD5DCE" w:rsidRDefault="00FA1A29" w:rsidP="004D0367">
      <w:pPr>
        <w:spacing w:line="340" w:lineRule="exact"/>
      </w:pPr>
    </w:p>
    <w:p w14:paraId="690D930C" w14:textId="7D0F158E" w:rsidR="00F75920" w:rsidRPr="00AD5DCE" w:rsidRDefault="008C22AA" w:rsidP="004D0367">
      <w:pPr>
        <w:spacing w:line="340" w:lineRule="exact"/>
        <w:ind w:firstLine="0"/>
        <w:jc w:val="center"/>
        <w:rPr>
          <w:b/>
          <w:bCs/>
        </w:rPr>
        <w:sectPr w:rsidR="00F75920" w:rsidRPr="00AD5DCE" w:rsidSect="00C71FFC">
          <w:headerReference w:type="even" r:id="rId8"/>
          <w:headerReference w:type="default" r:id="rId9"/>
          <w:headerReference w:type="first" r:id="rId10"/>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720"/>
          <w:docGrid w:linePitch="360"/>
        </w:sectPr>
      </w:pPr>
      <w:r w:rsidRPr="00AD5DCE">
        <w:rPr>
          <w:b/>
          <w:bCs/>
        </w:rPr>
        <w:t>Ha</w:t>
      </w:r>
      <w:r w:rsidRPr="00AD5DCE">
        <w:rPr>
          <w:b/>
          <w:bCs/>
          <w:lang w:val="vi-VN"/>
        </w:rPr>
        <w:t xml:space="preserve"> Noi </w:t>
      </w:r>
      <w:r w:rsidRPr="00AD5DCE">
        <w:rPr>
          <w:b/>
          <w:bCs/>
        </w:rPr>
        <w:t>–</w:t>
      </w:r>
      <w:r w:rsidR="00B67B4D" w:rsidRPr="00AD5DCE">
        <w:rPr>
          <w:b/>
          <w:bCs/>
        </w:rPr>
        <w:t xml:space="preserve"> </w:t>
      </w:r>
      <w:r w:rsidRPr="00AD5DCE">
        <w:rPr>
          <w:b/>
          <w:bCs/>
        </w:rPr>
        <w:t>2026</w:t>
      </w:r>
    </w:p>
    <w:p w14:paraId="68F21A51" w14:textId="77777777" w:rsidR="00C73846" w:rsidRDefault="00F55346" w:rsidP="00C73846">
      <w:pPr>
        <w:spacing w:line="340" w:lineRule="exact"/>
        <w:ind w:firstLine="0"/>
        <w:jc w:val="center"/>
        <w:rPr>
          <w:b/>
          <w:bCs/>
        </w:rPr>
      </w:pPr>
      <w:r w:rsidRPr="00AD5DCE">
        <w:rPr>
          <w:b/>
          <w:bCs/>
          <w:noProof/>
          <w:shd w:val="clear" w:color="auto" w:fill="auto"/>
        </w:rPr>
        <w:lastRenderedPageBreak/>
        <mc:AlternateContent>
          <mc:Choice Requires="wps">
            <w:drawing>
              <wp:anchor distT="0" distB="0" distL="114300" distR="114300" simplePos="0" relativeHeight="251659264" behindDoc="0" locked="0" layoutInCell="1" allowOverlap="1" wp14:anchorId="169B2FA1" wp14:editId="19C15619">
                <wp:simplePos x="0" y="0"/>
                <wp:positionH relativeFrom="margin">
                  <wp:posOffset>-167640</wp:posOffset>
                </wp:positionH>
                <wp:positionV relativeFrom="paragraph">
                  <wp:posOffset>-104140</wp:posOffset>
                </wp:positionV>
                <wp:extent cx="4375150" cy="6242050"/>
                <wp:effectExtent l="0" t="0" r="25400" b="25400"/>
                <wp:wrapNone/>
                <wp:docPr id="2021643481" name="Hình chữ nhật 1"/>
                <wp:cNvGraphicFramePr/>
                <a:graphic xmlns:a="http://schemas.openxmlformats.org/drawingml/2006/main">
                  <a:graphicData uri="http://schemas.microsoft.com/office/word/2010/wordprocessingShape">
                    <wps:wsp>
                      <wps:cNvSpPr/>
                      <wps:spPr>
                        <a:xfrm>
                          <a:off x="0" y="0"/>
                          <a:ext cx="4375150" cy="62420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C27B775" id="Hình chữ nhật 1" o:spid="_x0000_s1026" style="position:absolute;margin-left:-13.2pt;margin-top:-8.2pt;width:344.5pt;height:49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hlaYQIAAB8FAAAOAAAAZHJzL2Uyb0RvYy54bWysVMFu2zAMvQ/YPwi6L3aypN2COkXQosOA&#10;og2WDj0rshQbkEWNUuJkXz9KdpyiLXYYdpFFkXyknh91dX1oDNsr9DXYgo9HOWfKSihruy34z6e7&#10;T18480HYUhiwquBH5fn14uOHq9bN1QQqMKVCRiDWz1tX8CoEN88yLyvVCD8Cpyw5NWAjApm4zUoU&#10;LaE3Jpvk+UXWApYOQSrv6fS2c/JFwtdayfCotVeBmYJTbyGtmNZNXLPFlZhvUbiqln0b4h+6aERt&#10;qegAdSuCYDus30A1tUTwoMNIQpOB1rVU6Q50m3H+6jbrSjiV7kLkeDfQ5P8frHzYr90KiYbW+bmn&#10;bbzFQWMTv9QfOySyjgNZ6hCYpMPp58vZeEacSvJdTKaTnAzCyc7pDn34pqBhcVNwpL+RSBL7ex+6&#10;0FNIrGbhrjYmnp97SbtwNCoGGPtDaVaXVH2SgJJM1I1Bthf0g4WUyoZx56pEqbpj6jI/tTZkpEYT&#10;YETWVHjA7gGiBN9id2338TFVJZUNyfnfGuuSh4xUGWwYkpvaAr4HYOhWfeUu/kRSR01kaQPlcYUM&#10;odO4d/KuJtrvhQ8rgSRq+lU0qOGRFm2gLTj0O84qwN/vncd40hp5OWtpSAruf+0EKs7Md0sq/Dqe&#10;TuNUJWM6u5yQgS89m5ceu2tugH7TmJ4EJ9M2xgdz2mqE5pnmeRmrkktYSbULLgOejJvQDS+9CFIt&#10;lymMJsmJcG/XTkbwyGqU1dPhWaDrtRdItg9wGigxfyXBLjZmWljuAug66fPMa883TWESTv9ixDF/&#10;aaeo87u2+AMAAP//AwBQSwMEFAAGAAgAAAAhADY3klzeAAAACwEAAA8AAABkcnMvZG93bnJldi54&#10;bWxMj8tOwzAQRfdI/QdrKrFrnUZgkRCnqkCIDQto+QA3dhOLeBzZzgO+nukKdnc0R3fOVPvF9Wwy&#10;IVqPEnbbDJjBxmuLrYTP08vmAVhMCrXqPRoJ3ybCvl7dVKrUfsYPMx1Ty6gEY6kkdCkNJeex6YxT&#10;cesHg7S7+OBUojG0XAc1U7nreZ5lgjtlkS50ajBPnWm+jqOTEJZp1q+2wPvmp7DP4a0d3y8HKW/X&#10;y+ERWDJL+oPhqk/qUJPT2Y+oI+slbHJxRyiF3TUQIUQugJ0lFEII4HXF//9Q/wIAAP//AwBQSwEC&#10;LQAUAAYACAAAACEAtoM4kv4AAADhAQAAEwAAAAAAAAAAAAAAAAAAAAAAW0NvbnRlbnRfVHlwZXNd&#10;LnhtbFBLAQItABQABgAIAAAAIQA4/SH/1gAAAJQBAAALAAAAAAAAAAAAAAAAAC8BAABfcmVscy8u&#10;cmVsc1BLAQItABQABgAIAAAAIQDJ6hlaYQIAAB8FAAAOAAAAAAAAAAAAAAAAAC4CAABkcnMvZTJv&#10;RG9jLnhtbFBLAQItABQABgAIAAAAIQA2N5Jc3gAAAAsBAAAPAAAAAAAAAAAAAAAAALsEAABkcnMv&#10;ZG93bnJldi54bWxQSwUGAAAAAAQABADzAAAAxgUAAAAA&#10;" filled="f" strokecolor="#0a121c [484]" strokeweight="2pt">
                <w10:wrap anchorx="margin"/>
              </v:rect>
            </w:pict>
          </mc:Fallback>
        </mc:AlternateContent>
      </w:r>
      <w:r w:rsidR="00F76A65" w:rsidRPr="00AD5DCE">
        <w:t xml:space="preserve"> </w:t>
      </w:r>
      <w:r w:rsidR="00C73846" w:rsidRPr="006C04C7">
        <w:rPr>
          <w:b/>
          <w:bCs/>
        </w:rPr>
        <w:t>THE PROJECT WAS COMPLETED AT</w:t>
      </w:r>
    </w:p>
    <w:p w14:paraId="2AE87808" w14:textId="77777777" w:rsidR="00C73846" w:rsidRPr="00D249C3" w:rsidRDefault="00C73846" w:rsidP="00C73846">
      <w:pPr>
        <w:spacing w:line="340" w:lineRule="exact"/>
        <w:ind w:firstLine="0"/>
        <w:jc w:val="center"/>
        <w:rPr>
          <w:rFonts w:eastAsia="Times New Roman"/>
          <w:b/>
          <w:bCs/>
        </w:rPr>
      </w:pPr>
      <w:r w:rsidRPr="006C04C7">
        <w:rPr>
          <w:b/>
          <w:bCs/>
        </w:rPr>
        <w:t>MILITARY MEDICAL ACADEMY</w:t>
      </w:r>
    </w:p>
    <w:p w14:paraId="2E2BD2AC" w14:textId="3950B9BB" w:rsidR="008824D1" w:rsidRPr="00AD5DCE" w:rsidRDefault="008824D1" w:rsidP="00C73846">
      <w:pPr>
        <w:spacing w:line="340" w:lineRule="exact"/>
        <w:ind w:firstLine="0"/>
        <w:jc w:val="center"/>
      </w:pPr>
    </w:p>
    <w:p w14:paraId="34C6F249" w14:textId="77777777" w:rsidR="00FA1A29" w:rsidRPr="00AD5DCE" w:rsidRDefault="00FA1A29" w:rsidP="004D0367">
      <w:pPr>
        <w:spacing w:line="340" w:lineRule="exact"/>
      </w:pPr>
    </w:p>
    <w:p w14:paraId="553EB6C9" w14:textId="77777777" w:rsidR="00182DC6" w:rsidRDefault="00182DC6" w:rsidP="00182DC6">
      <w:pPr>
        <w:spacing w:line="340" w:lineRule="exact"/>
        <w:rPr>
          <w:lang w:val="vi-VN"/>
        </w:rPr>
      </w:pPr>
      <w:r w:rsidRPr="005911C5">
        <w:rPr>
          <w:lang w:val="vi-VN"/>
        </w:rPr>
        <w:t xml:space="preserve">Scientific supervisors: </w:t>
      </w:r>
    </w:p>
    <w:p w14:paraId="61F71416" w14:textId="77777777" w:rsidR="00182DC6" w:rsidRPr="005911C5" w:rsidRDefault="00182DC6" w:rsidP="00182DC6">
      <w:pPr>
        <w:spacing w:line="340" w:lineRule="exact"/>
        <w:rPr>
          <w:b/>
          <w:bCs/>
          <w:lang w:val="vi-VN"/>
        </w:rPr>
      </w:pPr>
      <w:r w:rsidRPr="005911C5">
        <w:rPr>
          <w:b/>
          <w:bCs/>
          <w:lang w:val="vi-VN"/>
        </w:rPr>
        <w:t xml:space="preserve">1. Prof. Dr. Nguyen Linh Toan </w:t>
      </w:r>
    </w:p>
    <w:p w14:paraId="5ECA6C61" w14:textId="77777777" w:rsidR="00182DC6" w:rsidRPr="005911C5" w:rsidRDefault="00182DC6" w:rsidP="00182DC6">
      <w:pPr>
        <w:spacing w:line="340" w:lineRule="exact"/>
        <w:rPr>
          <w:b/>
          <w:bCs/>
          <w:lang w:val="vi-VN"/>
        </w:rPr>
      </w:pPr>
      <w:r w:rsidRPr="005911C5">
        <w:rPr>
          <w:b/>
          <w:bCs/>
          <w:lang w:val="vi-VN"/>
        </w:rPr>
        <w:t>2. Prof. Dr. Thirumalaisamy P. Velavan</w:t>
      </w:r>
    </w:p>
    <w:p w14:paraId="55FE489B" w14:textId="77777777" w:rsidR="00FA1A29" w:rsidRPr="00AD5DCE" w:rsidRDefault="00FA1A29" w:rsidP="004D0367">
      <w:pPr>
        <w:spacing w:line="340" w:lineRule="exact"/>
      </w:pPr>
      <w:bookmarkStart w:id="2" w:name="_GoBack"/>
      <w:bookmarkEnd w:id="2"/>
    </w:p>
    <w:p w14:paraId="1A63CDB7" w14:textId="5670120D" w:rsidR="00CC2506" w:rsidRPr="00AD5DCE" w:rsidRDefault="00CC2506" w:rsidP="004D0367">
      <w:pPr>
        <w:spacing w:line="340" w:lineRule="exact"/>
      </w:pPr>
    </w:p>
    <w:p w14:paraId="2471548A" w14:textId="30DC8827" w:rsidR="00CC2506" w:rsidRPr="00AD5DCE" w:rsidRDefault="00CC2506" w:rsidP="004D0367">
      <w:pPr>
        <w:spacing w:line="340" w:lineRule="exact"/>
      </w:pPr>
    </w:p>
    <w:p w14:paraId="176018D0" w14:textId="13AC5121" w:rsidR="00CC2506" w:rsidRPr="00AD5DCE" w:rsidRDefault="00CC2506" w:rsidP="004D0367">
      <w:pPr>
        <w:spacing w:line="340" w:lineRule="exact"/>
      </w:pPr>
    </w:p>
    <w:p w14:paraId="092DD566" w14:textId="77777777" w:rsidR="00347A37" w:rsidRPr="00AD5DCE" w:rsidRDefault="00347A37" w:rsidP="004D0367">
      <w:pPr>
        <w:spacing w:line="340" w:lineRule="exact"/>
      </w:pPr>
    </w:p>
    <w:p w14:paraId="36152D02" w14:textId="77777777" w:rsidR="00FA1A29" w:rsidRPr="00AD5DCE" w:rsidRDefault="00FA1A29" w:rsidP="004D0367">
      <w:pPr>
        <w:spacing w:line="340" w:lineRule="exact"/>
        <w:ind w:firstLine="0"/>
      </w:pPr>
    </w:p>
    <w:p w14:paraId="650993B8" w14:textId="77777777" w:rsidR="00F76A65" w:rsidRPr="00AD5DCE" w:rsidRDefault="00F76A65" w:rsidP="00F76A65">
      <w:pPr>
        <w:spacing w:line="340" w:lineRule="exact"/>
      </w:pPr>
      <w:r w:rsidRPr="00AD5DCE">
        <w:t xml:space="preserve">Critique 1: </w:t>
      </w:r>
    </w:p>
    <w:p w14:paraId="3B74F793" w14:textId="77777777" w:rsidR="00F76A65" w:rsidRPr="00AD5DCE" w:rsidRDefault="00F76A65" w:rsidP="00F76A65">
      <w:pPr>
        <w:spacing w:line="340" w:lineRule="exact"/>
      </w:pPr>
      <w:r w:rsidRPr="00AD5DCE">
        <w:t xml:space="preserve">Critique 2: </w:t>
      </w:r>
    </w:p>
    <w:p w14:paraId="114A944D" w14:textId="77777777" w:rsidR="00F76A65" w:rsidRPr="00AD5DCE" w:rsidRDefault="00F76A65" w:rsidP="00F76A65">
      <w:pPr>
        <w:spacing w:line="340" w:lineRule="exact"/>
      </w:pPr>
      <w:r w:rsidRPr="00AD5DCE">
        <w:t xml:space="preserve">Critique 3: </w:t>
      </w:r>
    </w:p>
    <w:p w14:paraId="752815E7" w14:textId="77777777" w:rsidR="00F76A65" w:rsidRPr="00AD5DCE" w:rsidRDefault="00F76A65" w:rsidP="00F76A65">
      <w:pPr>
        <w:spacing w:line="340" w:lineRule="exact"/>
        <w:ind w:firstLine="0"/>
        <w:jc w:val="center"/>
      </w:pPr>
    </w:p>
    <w:p w14:paraId="1DDD2725" w14:textId="77777777" w:rsidR="00F76A65" w:rsidRPr="00AD5DCE" w:rsidRDefault="00F76A65" w:rsidP="00F76A65">
      <w:pPr>
        <w:spacing w:line="340" w:lineRule="exact"/>
        <w:ind w:firstLine="0"/>
        <w:jc w:val="center"/>
      </w:pPr>
    </w:p>
    <w:p w14:paraId="4E2A20B5" w14:textId="53AAEFF5" w:rsidR="006C04C7" w:rsidRPr="00AD5DCE" w:rsidRDefault="00F76A65" w:rsidP="00F76A65">
      <w:pPr>
        <w:spacing w:line="340" w:lineRule="exact"/>
        <w:ind w:firstLine="0"/>
        <w:jc w:val="center"/>
      </w:pPr>
      <w:r w:rsidRPr="00AD5DCE">
        <w:t xml:space="preserve">The thesis is defended at the University-level Thesis Grading Council at </w:t>
      </w:r>
      <w:r w:rsidR="00CC2506" w:rsidRPr="00AD5DCE">
        <w:t>…………………………..</w:t>
      </w:r>
      <w:r w:rsidR="00D2092E" w:rsidRPr="00AD5DCE">
        <w:t xml:space="preserve"> on</w:t>
      </w:r>
      <w:r w:rsidRPr="00AD5DCE">
        <w:t xml:space="preserve">     day     month     in </w:t>
      </w:r>
      <w:r w:rsidR="008C22AA" w:rsidRPr="00AD5DCE">
        <w:t>2026</w:t>
      </w:r>
    </w:p>
    <w:p w14:paraId="4135B05F" w14:textId="77777777" w:rsidR="006C04C7" w:rsidRPr="00AD5DCE" w:rsidRDefault="006C04C7" w:rsidP="004D0367">
      <w:pPr>
        <w:spacing w:line="340" w:lineRule="exact"/>
      </w:pPr>
    </w:p>
    <w:p w14:paraId="1F551BFB" w14:textId="77777777" w:rsidR="006C04C7" w:rsidRPr="00AD5DCE" w:rsidRDefault="006C04C7" w:rsidP="004D0367">
      <w:pPr>
        <w:spacing w:line="340" w:lineRule="exact"/>
      </w:pPr>
    </w:p>
    <w:p w14:paraId="0BE29BF8" w14:textId="77777777" w:rsidR="006C04C7" w:rsidRPr="00AD5DCE" w:rsidRDefault="006C04C7" w:rsidP="004D0367">
      <w:pPr>
        <w:spacing w:line="340" w:lineRule="exact"/>
        <w:ind w:firstLine="0"/>
      </w:pPr>
    </w:p>
    <w:p w14:paraId="3C23AAC5" w14:textId="77777777" w:rsidR="00EB0436" w:rsidRPr="00AD5DCE" w:rsidRDefault="00EB0436" w:rsidP="004D0367">
      <w:pPr>
        <w:spacing w:line="340" w:lineRule="exact"/>
      </w:pPr>
    </w:p>
    <w:p w14:paraId="74822AD2" w14:textId="77777777" w:rsidR="00F76A65" w:rsidRPr="00AD5DCE" w:rsidRDefault="00F76A65" w:rsidP="00F76A65">
      <w:pPr>
        <w:spacing w:line="340" w:lineRule="exact"/>
      </w:pPr>
      <w:r w:rsidRPr="00AD5DCE">
        <w:t>The thesis can be found at:</w:t>
      </w:r>
    </w:p>
    <w:p w14:paraId="40B1B938" w14:textId="77777777" w:rsidR="00F76A65" w:rsidRPr="00AD5DCE" w:rsidRDefault="00F76A65" w:rsidP="00F76A65">
      <w:pPr>
        <w:spacing w:line="340" w:lineRule="exact"/>
        <w:rPr>
          <w:b/>
          <w:bCs/>
        </w:rPr>
      </w:pPr>
      <w:r w:rsidRPr="00AD5DCE">
        <w:rPr>
          <w:b/>
          <w:bCs/>
        </w:rPr>
        <w:tab/>
        <w:t>1. National Library of Vietnam</w:t>
      </w:r>
    </w:p>
    <w:p w14:paraId="66817F8E" w14:textId="1E6644DE" w:rsidR="006C04C7" w:rsidRPr="00AD5DCE" w:rsidRDefault="00F76A65" w:rsidP="00F76A65">
      <w:pPr>
        <w:spacing w:line="340" w:lineRule="exact"/>
        <w:rPr>
          <w:b/>
          <w:bCs/>
        </w:rPr>
      </w:pPr>
      <w:r w:rsidRPr="00AD5DCE">
        <w:rPr>
          <w:b/>
          <w:bCs/>
        </w:rPr>
        <w:tab/>
        <w:t xml:space="preserve">2. Vietnam </w:t>
      </w:r>
      <w:r w:rsidR="00CC2506" w:rsidRPr="00AD5DCE">
        <w:rPr>
          <w:b/>
          <w:bCs/>
        </w:rPr>
        <w:t>………………………………………</w:t>
      </w:r>
    </w:p>
    <w:p w14:paraId="2B46EC5C" w14:textId="15D4CA29" w:rsidR="00471686" w:rsidRPr="00AD5DCE" w:rsidRDefault="007223CD" w:rsidP="004D0367">
      <w:pPr>
        <w:spacing w:line="340" w:lineRule="exact"/>
        <w:rPr>
          <w:lang w:val="vi-VN"/>
        </w:rPr>
      </w:pPr>
      <w:r w:rsidRPr="00AD5DCE">
        <w:rPr>
          <w:lang w:val="vi-VN"/>
        </w:rPr>
        <w:br w:type="page"/>
      </w:r>
    </w:p>
    <w:bookmarkEnd w:id="0"/>
    <w:p w14:paraId="55AEF84A" w14:textId="77777777" w:rsidR="000E09B7" w:rsidRPr="00AD5DCE" w:rsidRDefault="000E09B7" w:rsidP="00091180">
      <w:pPr>
        <w:pStyle w:val="Title"/>
        <w:tabs>
          <w:tab w:val="clear" w:pos="0"/>
          <w:tab w:val="clear" w:pos="357"/>
          <w:tab w:val="clear" w:pos="459"/>
          <w:tab w:val="clear" w:pos="567"/>
        </w:tabs>
        <w:ind w:firstLine="0"/>
        <w:sectPr w:rsidR="000E09B7" w:rsidRPr="00AD5DCE" w:rsidSect="00A12639">
          <w:headerReference w:type="default" r:id="rId11"/>
          <w:type w:val="continuous"/>
          <w:pgSz w:w="8420" w:h="11907" w:orient="landscape" w:code="9"/>
          <w:pgMar w:top="1134" w:right="1134" w:bottom="1134" w:left="1134" w:header="567" w:footer="567" w:gutter="0"/>
          <w:cols w:space="720"/>
          <w:docGrid w:linePitch="360"/>
        </w:sectPr>
      </w:pPr>
    </w:p>
    <w:p w14:paraId="24E66F39" w14:textId="1D508658" w:rsidR="00091180" w:rsidRPr="00AD5DCE" w:rsidRDefault="00F76A65" w:rsidP="00AD5DCE">
      <w:pPr>
        <w:pStyle w:val="Title"/>
        <w:widowControl w:val="0"/>
        <w:tabs>
          <w:tab w:val="clear" w:pos="0"/>
          <w:tab w:val="clear" w:pos="357"/>
          <w:tab w:val="clear" w:pos="459"/>
          <w:tab w:val="clear" w:pos="567"/>
        </w:tabs>
        <w:ind w:firstLine="0"/>
      </w:pPr>
      <w:r w:rsidRPr="00AD5DCE">
        <w:lastRenderedPageBreak/>
        <w:t>INTRODUCTION</w:t>
      </w:r>
    </w:p>
    <w:p w14:paraId="736C5EE1" w14:textId="77777777" w:rsidR="0018251D" w:rsidRPr="0018251D" w:rsidRDefault="0018251D" w:rsidP="0018251D">
      <w:pPr>
        <w:widowControl w:val="0"/>
        <w:spacing w:line="340" w:lineRule="exact"/>
        <w:ind w:firstLine="720"/>
        <w:rPr>
          <w:bCs/>
          <w:lang w:val="vi-VN"/>
        </w:rPr>
      </w:pPr>
      <w:r w:rsidRPr="0018251D">
        <w:rPr>
          <w:bCs/>
          <w:lang w:val="vi-VN"/>
        </w:rPr>
        <w:t xml:space="preserve">Hepatocellular carcinoma (HCC) is a malignancy with poor prognosis and represents one of the leading causes of cancer-related mortality in Vietnam, primarily caused by chronic hepatitis B virus (HBV) infection. The process of HBV infection depends on the interaction between hepatitis B surface antigen (HBsAg), encoded by the </w:t>
      </w:r>
      <w:r w:rsidRPr="0059595B">
        <w:rPr>
          <w:bCs/>
          <w:i/>
          <w:iCs/>
          <w:lang w:val="vi-VN"/>
        </w:rPr>
        <w:t>preS/S</w:t>
      </w:r>
      <w:r w:rsidRPr="0018251D">
        <w:rPr>
          <w:bCs/>
          <w:lang w:val="vi-VN"/>
        </w:rPr>
        <w:t xml:space="preserve"> gene, and the sodium taurocholate cotransporting polypeptide (NTCP) receptor on hepatocytes, encoded by the SLC10A1 gene.</w:t>
      </w:r>
    </w:p>
    <w:p w14:paraId="2A4E60A6" w14:textId="77777777" w:rsidR="0018251D" w:rsidRPr="0018251D" w:rsidRDefault="0018251D" w:rsidP="0018251D">
      <w:pPr>
        <w:widowControl w:val="0"/>
        <w:spacing w:line="340" w:lineRule="exact"/>
        <w:ind w:firstLine="720"/>
        <w:rPr>
          <w:bCs/>
          <w:lang w:val="vi-VN"/>
        </w:rPr>
      </w:pPr>
      <w:r w:rsidRPr="0018251D">
        <w:rPr>
          <w:bCs/>
          <w:lang w:val="vi-VN"/>
        </w:rPr>
        <w:t xml:space="preserve">Mutations in the </w:t>
      </w:r>
      <w:r w:rsidRPr="0059595B">
        <w:rPr>
          <w:bCs/>
          <w:i/>
          <w:iCs/>
          <w:lang w:val="vi-VN"/>
        </w:rPr>
        <w:t xml:space="preserve">preS/S </w:t>
      </w:r>
      <w:r w:rsidRPr="0018251D">
        <w:rPr>
          <w:bCs/>
          <w:lang w:val="vi-VN"/>
        </w:rPr>
        <w:t xml:space="preserve">gene are believed to contribute to immune escape, antigen accumulation, oxidative stress, and genomic instability, thereby promoting hepatocarcinogenesis. Meanwhile, variants of the </w:t>
      </w:r>
      <w:r w:rsidRPr="0059595B">
        <w:rPr>
          <w:bCs/>
          <w:i/>
          <w:iCs/>
          <w:lang w:val="vi-VN"/>
        </w:rPr>
        <w:t>SLC10A1</w:t>
      </w:r>
      <w:r w:rsidRPr="0018251D">
        <w:rPr>
          <w:bCs/>
          <w:lang w:val="vi-VN"/>
        </w:rPr>
        <w:t xml:space="preserve"> gene, particularly the Asian-specific NTCP S267F variant, have been associated with altered HBV entry and a reduced risk of chronic liver diseases.</w:t>
      </w:r>
    </w:p>
    <w:p w14:paraId="3A16300E" w14:textId="77777777" w:rsidR="0018251D" w:rsidRDefault="0018251D" w:rsidP="0018251D">
      <w:pPr>
        <w:widowControl w:val="0"/>
        <w:spacing w:line="340" w:lineRule="exact"/>
        <w:ind w:firstLine="720"/>
        <w:rPr>
          <w:bCs/>
          <w:lang w:val="vi-VN"/>
        </w:rPr>
      </w:pPr>
      <w:r w:rsidRPr="0018251D">
        <w:rPr>
          <w:bCs/>
          <w:lang w:val="vi-VN"/>
        </w:rPr>
        <w:t xml:space="preserve">In Vietnam, studies investigating HBV </w:t>
      </w:r>
      <w:r w:rsidRPr="0059595B">
        <w:rPr>
          <w:bCs/>
          <w:i/>
          <w:iCs/>
          <w:lang w:val="vi-VN"/>
        </w:rPr>
        <w:t>preS/S</w:t>
      </w:r>
      <w:r w:rsidRPr="0018251D">
        <w:rPr>
          <w:bCs/>
          <w:lang w:val="vi-VN"/>
        </w:rPr>
        <w:t xml:space="preserve"> gene sequencing remain limited, and no previous study has simultaneously evaluated </w:t>
      </w:r>
      <w:r w:rsidRPr="0059595B">
        <w:rPr>
          <w:bCs/>
          <w:i/>
          <w:iCs/>
          <w:lang w:val="vi-VN"/>
        </w:rPr>
        <w:t>preS/S</w:t>
      </w:r>
      <w:r w:rsidRPr="0018251D">
        <w:rPr>
          <w:bCs/>
          <w:lang w:val="vi-VN"/>
        </w:rPr>
        <w:t xml:space="preserve"> gene mutations in relation to the NTCP S267F variant of the </w:t>
      </w:r>
      <w:r w:rsidRPr="0059595B">
        <w:rPr>
          <w:bCs/>
          <w:i/>
          <w:iCs/>
          <w:lang w:val="vi-VN"/>
        </w:rPr>
        <w:t>SLC10A1</w:t>
      </w:r>
      <w:r w:rsidRPr="0018251D">
        <w:rPr>
          <w:bCs/>
          <w:lang w:val="vi-VN"/>
        </w:rPr>
        <w:t xml:space="preserve"> gene in humans. Clarifying this relationship is important for improving understanding of disease pathogenesis, supporting risk stratification and prognosis, and contributing to the development of novel targeted therapeutic strategies.</w:t>
      </w:r>
    </w:p>
    <w:p w14:paraId="7E6DFC10" w14:textId="202CB3F4" w:rsidR="0015587D" w:rsidRPr="00AD5DCE" w:rsidRDefault="00250214" w:rsidP="00AD5DCE">
      <w:pPr>
        <w:widowControl w:val="0"/>
        <w:spacing w:line="340" w:lineRule="exact"/>
        <w:ind w:firstLine="284"/>
      </w:pPr>
      <w:r w:rsidRPr="00AD5DCE">
        <w:rPr>
          <w:rFonts w:eastAsia="Times New Roman"/>
          <w:b/>
          <w:lang w:val="it-IT"/>
        </w:rPr>
        <w:t xml:space="preserve">1. </w:t>
      </w:r>
      <w:r w:rsidR="00F76A65" w:rsidRPr="00AD5DCE">
        <w:rPr>
          <w:rFonts w:eastAsia="Times New Roman"/>
          <w:b/>
          <w:lang w:val="it-IT"/>
        </w:rPr>
        <w:t>OBJECTIVES</w:t>
      </w:r>
      <w:r w:rsidRPr="00AD5DCE">
        <w:t xml:space="preserve"> </w:t>
      </w:r>
    </w:p>
    <w:p w14:paraId="689A0160" w14:textId="6E7FAC5E" w:rsidR="00C4516E" w:rsidRPr="00C4516E" w:rsidRDefault="00C4516E" w:rsidP="00C4516E">
      <w:pPr>
        <w:widowControl w:val="0"/>
        <w:spacing w:line="340" w:lineRule="exact"/>
        <w:ind w:firstLine="0"/>
        <w:jc w:val="left"/>
        <w:rPr>
          <w:i/>
          <w:iCs/>
          <w:spacing w:val="-2"/>
        </w:rPr>
      </w:pPr>
      <w:r w:rsidRPr="00C4516E">
        <w:rPr>
          <w:i/>
          <w:iCs/>
          <w:spacing w:val="-2"/>
        </w:rPr>
        <w:t>1.1.</w:t>
      </w:r>
      <w:r>
        <w:rPr>
          <w:i/>
          <w:iCs/>
          <w:spacing w:val="-2"/>
          <w:lang w:val="vi-VN"/>
        </w:rPr>
        <w:t xml:space="preserve"> </w:t>
      </w:r>
      <w:r w:rsidRPr="00C4516E">
        <w:rPr>
          <w:i/>
          <w:iCs/>
          <w:spacing w:val="-2"/>
        </w:rPr>
        <w:t>To investigate HBV preS/S gene mutations and the NTCP S267F variant of the SLC10A1 gene in patients with HBsAg-positive hepatocellular carcinoma.</w:t>
      </w:r>
    </w:p>
    <w:p w14:paraId="3EF09064" w14:textId="77777777" w:rsidR="0018251D" w:rsidRDefault="00C4516E" w:rsidP="00C4516E">
      <w:pPr>
        <w:widowControl w:val="0"/>
        <w:spacing w:line="340" w:lineRule="exact"/>
        <w:ind w:firstLine="0"/>
        <w:jc w:val="left"/>
        <w:rPr>
          <w:i/>
          <w:iCs/>
          <w:spacing w:val="-2"/>
          <w:lang w:val="vi-VN"/>
        </w:rPr>
      </w:pPr>
      <w:r w:rsidRPr="00C4516E">
        <w:rPr>
          <w:i/>
          <w:iCs/>
          <w:spacing w:val="-2"/>
        </w:rPr>
        <w:t>1.2.</w:t>
      </w:r>
      <w:r>
        <w:rPr>
          <w:i/>
          <w:iCs/>
          <w:spacing w:val="-2"/>
          <w:lang w:val="vi-VN"/>
        </w:rPr>
        <w:t xml:space="preserve"> </w:t>
      </w:r>
      <w:r w:rsidRPr="00C4516E">
        <w:rPr>
          <w:i/>
          <w:iCs/>
          <w:spacing w:val="-2"/>
        </w:rPr>
        <w:t xml:space="preserve">To evaluate the association between HBV preS/S gene mutations and the NTCP S267F variant of the SLC10A1 gene with selected </w:t>
      </w:r>
      <w:r w:rsidRPr="00C4516E">
        <w:rPr>
          <w:i/>
          <w:iCs/>
          <w:spacing w:val="-2"/>
        </w:rPr>
        <w:lastRenderedPageBreak/>
        <w:t>characteristics of HBsAg-positive hepatocellular carcinoma patients.</w:t>
      </w:r>
    </w:p>
    <w:p w14:paraId="525D3A63" w14:textId="494032FB" w:rsidR="00270DC4" w:rsidRPr="00AD5DCE" w:rsidRDefault="00250214" w:rsidP="00C4516E">
      <w:pPr>
        <w:widowControl w:val="0"/>
        <w:spacing w:line="340" w:lineRule="exact"/>
        <w:ind w:firstLine="0"/>
        <w:jc w:val="left"/>
        <w:rPr>
          <w:rFonts w:eastAsia="Times New Roman"/>
          <w:b/>
          <w:bCs/>
          <w:color w:val="000000" w:themeColor="text1"/>
        </w:rPr>
      </w:pPr>
      <w:r w:rsidRPr="00AD5DCE">
        <w:rPr>
          <w:b/>
          <w:bCs/>
        </w:rPr>
        <w:t xml:space="preserve">2. </w:t>
      </w:r>
      <w:r w:rsidR="00F76A65" w:rsidRPr="00AD5DCE">
        <w:rPr>
          <w:b/>
          <w:bCs/>
        </w:rPr>
        <w:t>CONTRIBUTIONS</w:t>
      </w:r>
    </w:p>
    <w:p w14:paraId="4859E343" w14:textId="2D9BDD05" w:rsidR="008C22AA" w:rsidRPr="008C22AA" w:rsidRDefault="008C22AA" w:rsidP="00AD5DCE">
      <w:pPr>
        <w:widowControl w:val="0"/>
        <w:spacing w:line="340" w:lineRule="exact"/>
        <w:ind w:firstLine="720"/>
        <w:rPr>
          <w:bCs/>
          <w:lang w:val="vi-VN"/>
        </w:rPr>
      </w:pPr>
      <w:r w:rsidRPr="008C22AA">
        <w:rPr>
          <w:bCs/>
          <w:lang w:val="vi-VN"/>
        </w:rPr>
        <w:t xml:space="preserve">This is the first study in Vietnam to simultaneously investigate HBV </w:t>
      </w:r>
      <w:r w:rsidR="00EF225C">
        <w:rPr>
          <w:bCs/>
          <w:i/>
          <w:iCs/>
          <w:lang w:val="vi-VN"/>
        </w:rPr>
        <w:t>preS</w:t>
      </w:r>
      <w:r w:rsidR="005B5D37" w:rsidRPr="005B5D37">
        <w:rPr>
          <w:bCs/>
          <w:i/>
          <w:iCs/>
          <w:lang w:val="vi-VN"/>
        </w:rPr>
        <w:t>/S</w:t>
      </w:r>
      <w:r w:rsidRPr="008C22AA">
        <w:rPr>
          <w:bCs/>
          <w:lang w:val="vi-VN"/>
        </w:rPr>
        <w:t xml:space="preserve"> mutations and the NTCP S267F variant (</w:t>
      </w:r>
      <w:r w:rsidR="00374D18" w:rsidRPr="00374D18">
        <w:rPr>
          <w:bCs/>
          <w:i/>
          <w:iCs/>
          <w:lang w:val="vi-VN"/>
        </w:rPr>
        <w:t>SLC10A1</w:t>
      </w:r>
      <w:r w:rsidRPr="008C22AA">
        <w:rPr>
          <w:bCs/>
          <w:lang w:val="vi-VN"/>
        </w:rPr>
        <w:t>) in groups of HBsAg-positive chronic liver disease patients.</w:t>
      </w:r>
    </w:p>
    <w:p w14:paraId="3B70575C" w14:textId="36988CC0" w:rsidR="008C22AA" w:rsidRPr="008C22AA" w:rsidRDefault="008C22AA" w:rsidP="00AD5DCE">
      <w:pPr>
        <w:widowControl w:val="0"/>
        <w:spacing w:line="340" w:lineRule="exact"/>
        <w:ind w:firstLine="720"/>
        <w:rPr>
          <w:bCs/>
          <w:lang w:val="vi-VN"/>
        </w:rPr>
      </w:pPr>
      <w:r w:rsidRPr="008C22AA">
        <w:rPr>
          <w:bCs/>
          <w:lang w:val="vi-VN"/>
        </w:rPr>
        <w:t xml:space="preserve">The study provides data on the characteristics and prevalence of </w:t>
      </w:r>
      <w:r w:rsidR="00EF225C">
        <w:rPr>
          <w:bCs/>
          <w:i/>
          <w:iCs/>
          <w:lang w:val="vi-VN"/>
        </w:rPr>
        <w:t>preS</w:t>
      </w:r>
      <w:r w:rsidR="005B5D37" w:rsidRPr="005B5D37">
        <w:rPr>
          <w:bCs/>
          <w:i/>
          <w:iCs/>
          <w:lang w:val="vi-VN"/>
        </w:rPr>
        <w:t>/S</w:t>
      </w:r>
      <w:r w:rsidRPr="008C22AA">
        <w:rPr>
          <w:bCs/>
          <w:lang w:val="vi-VN"/>
        </w:rPr>
        <w:t xml:space="preserve"> gene mutations from codon 20 to 174 of HBV, as well as the prevalence of the NTCP S267F variant among patients with HCC, liver cirrhosis</w:t>
      </w:r>
      <w:r w:rsidR="00374D18">
        <w:rPr>
          <w:bCs/>
          <w:lang w:val="vi-VN"/>
        </w:rPr>
        <w:t xml:space="preserve"> (LC)</w:t>
      </w:r>
      <w:r w:rsidRPr="008C22AA">
        <w:rPr>
          <w:bCs/>
          <w:lang w:val="vi-VN"/>
        </w:rPr>
        <w:t>, chronic hepatitis B</w:t>
      </w:r>
      <w:r w:rsidR="00374D18">
        <w:rPr>
          <w:bCs/>
          <w:lang w:val="vi-VN"/>
        </w:rPr>
        <w:t xml:space="preserve"> (CHB)</w:t>
      </w:r>
      <w:r w:rsidRPr="008C22AA">
        <w:rPr>
          <w:bCs/>
          <w:lang w:val="vi-VN"/>
        </w:rPr>
        <w:t>, and healthy blood donors</w:t>
      </w:r>
      <w:r w:rsidR="00374D18">
        <w:rPr>
          <w:bCs/>
          <w:lang w:val="vi-VN"/>
        </w:rPr>
        <w:t xml:space="preserve"> (Control group)</w:t>
      </w:r>
      <w:r w:rsidRPr="008C22AA">
        <w:rPr>
          <w:bCs/>
          <w:lang w:val="vi-VN"/>
        </w:rPr>
        <w:t>.</w:t>
      </w:r>
    </w:p>
    <w:p w14:paraId="5FD42BFA" w14:textId="15EA5975" w:rsidR="008C22AA" w:rsidRPr="008C22AA" w:rsidRDefault="008C22AA" w:rsidP="00AD5DCE">
      <w:pPr>
        <w:widowControl w:val="0"/>
        <w:spacing w:line="340" w:lineRule="exact"/>
        <w:ind w:firstLine="720"/>
        <w:rPr>
          <w:bCs/>
          <w:lang w:val="vi-VN"/>
        </w:rPr>
      </w:pPr>
      <w:r w:rsidRPr="008C22AA">
        <w:rPr>
          <w:bCs/>
          <w:lang w:val="vi-VN"/>
        </w:rPr>
        <w:t xml:space="preserve">Several </w:t>
      </w:r>
      <w:r w:rsidR="00EF225C">
        <w:rPr>
          <w:bCs/>
          <w:i/>
          <w:iCs/>
          <w:lang w:val="vi-VN"/>
        </w:rPr>
        <w:t>preS</w:t>
      </w:r>
      <w:r w:rsidR="005B5D37" w:rsidRPr="005B5D37">
        <w:rPr>
          <w:bCs/>
          <w:i/>
          <w:iCs/>
          <w:lang w:val="vi-VN"/>
        </w:rPr>
        <w:t>/S</w:t>
      </w:r>
      <w:r w:rsidRPr="008C22AA">
        <w:rPr>
          <w:bCs/>
          <w:lang w:val="vi-VN"/>
        </w:rPr>
        <w:t xml:space="preserve"> mutations were identified as being associated with the NTCP S267F variant and with the risk of HCC. The protective association between the NTCP S267F variant and a reduced risk of chronic liver disease was reaffirmed. However, no statistically significant association was observed between this variant and HCC risk (p &gt; 0.05).</w:t>
      </w:r>
    </w:p>
    <w:p w14:paraId="69A80191" w14:textId="58C02320" w:rsidR="008C22AA" w:rsidRPr="008C22AA" w:rsidRDefault="008C22AA" w:rsidP="00AD5DCE">
      <w:pPr>
        <w:widowControl w:val="0"/>
        <w:spacing w:line="340" w:lineRule="exact"/>
        <w:ind w:firstLine="720"/>
        <w:rPr>
          <w:bCs/>
          <w:lang w:val="vi-VN"/>
        </w:rPr>
      </w:pPr>
      <w:r w:rsidRPr="008C22AA">
        <w:rPr>
          <w:bCs/>
          <w:lang w:val="vi-VN"/>
        </w:rPr>
        <w:t xml:space="preserve">Importantly, the dissertation identified independent risk factors for HCC in patients with chronic liver disease, including advanced age, male sex, elevated AFP levels, reduced prothrombin percentage, and the </w:t>
      </w:r>
      <w:r w:rsidR="00EF225C">
        <w:rPr>
          <w:bCs/>
          <w:lang w:val="vi-VN"/>
        </w:rPr>
        <w:t>pres</w:t>
      </w:r>
      <w:r w:rsidRPr="008C22AA">
        <w:rPr>
          <w:bCs/>
          <w:lang w:val="vi-VN"/>
        </w:rPr>
        <w:t xml:space="preserve">ence of mutations at codon 51 of the </w:t>
      </w:r>
      <w:r w:rsidR="00EF225C">
        <w:rPr>
          <w:bCs/>
          <w:i/>
          <w:iCs/>
          <w:lang w:val="vi-VN"/>
        </w:rPr>
        <w:t>preS</w:t>
      </w:r>
      <w:r w:rsidR="005B5D37" w:rsidRPr="005B5D37">
        <w:rPr>
          <w:bCs/>
          <w:i/>
          <w:iCs/>
          <w:lang w:val="vi-VN"/>
        </w:rPr>
        <w:t>/S</w:t>
      </w:r>
      <w:r w:rsidRPr="008C22AA">
        <w:rPr>
          <w:bCs/>
          <w:lang w:val="vi-VN"/>
        </w:rPr>
        <w:t xml:space="preserve"> gene.</w:t>
      </w:r>
    </w:p>
    <w:p w14:paraId="6801089C" w14:textId="40FA0E26" w:rsidR="00250214" w:rsidRPr="00AD5DCE" w:rsidRDefault="00250214" w:rsidP="00AD5DCE">
      <w:pPr>
        <w:pStyle w:val="Title"/>
        <w:widowControl w:val="0"/>
        <w:ind w:firstLine="0"/>
        <w:jc w:val="both"/>
        <w:rPr>
          <w:lang w:val="it-IT"/>
        </w:rPr>
      </w:pPr>
      <w:r w:rsidRPr="00AD5DCE">
        <w:rPr>
          <w:lang w:val="it-IT"/>
        </w:rPr>
        <w:t xml:space="preserve">3. </w:t>
      </w:r>
      <w:r w:rsidR="00F76A65" w:rsidRPr="00AD5DCE">
        <w:rPr>
          <w:lang w:val="it-IT"/>
        </w:rPr>
        <w:t>LAYOUT</w:t>
      </w:r>
    </w:p>
    <w:p w14:paraId="6B80243B" w14:textId="2E6E9768" w:rsidR="00F76A65" w:rsidRPr="00AD5DCE" w:rsidRDefault="00F76A65" w:rsidP="00AD5DCE">
      <w:pPr>
        <w:widowControl w:val="0"/>
        <w:spacing w:line="340" w:lineRule="exact"/>
        <w:rPr>
          <w:lang w:val="it-IT"/>
        </w:rPr>
      </w:pPr>
      <w:r w:rsidRPr="00AD5DCE">
        <w:rPr>
          <w:lang w:val="it-IT"/>
        </w:rPr>
        <w:t xml:space="preserve">The thesis consists of </w:t>
      </w:r>
      <w:r w:rsidR="00AB23DA">
        <w:rPr>
          <w:lang w:val="it-IT"/>
        </w:rPr>
        <w:t>136</w:t>
      </w:r>
      <w:r w:rsidRPr="00AD5DCE">
        <w:rPr>
          <w:lang w:val="it-IT"/>
        </w:rPr>
        <w:t xml:space="preserve"> pages, of which </w:t>
      </w:r>
      <w:r w:rsidR="00AB23DA">
        <w:rPr>
          <w:lang w:val="it-IT"/>
        </w:rPr>
        <w:t>3</w:t>
      </w:r>
      <w:r w:rsidRPr="00AD5DCE">
        <w:rPr>
          <w:lang w:val="it-IT"/>
        </w:rPr>
        <w:t xml:space="preserve"> pages are for the problem, 35 pages for </w:t>
      </w:r>
      <w:r w:rsidR="004D2D10" w:rsidRPr="00AD5DCE">
        <w:rPr>
          <w:lang w:val="it-IT"/>
        </w:rPr>
        <w:t xml:space="preserve">the </w:t>
      </w:r>
      <w:r w:rsidRPr="00AD5DCE">
        <w:rPr>
          <w:lang w:val="it-IT"/>
        </w:rPr>
        <w:t xml:space="preserve">literature review, </w:t>
      </w:r>
      <w:r w:rsidR="008C22AA" w:rsidRPr="00AD5DCE">
        <w:rPr>
          <w:lang w:val="it-IT"/>
        </w:rPr>
        <w:t>29</w:t>
      </w:r>
      <w:r w:rsidRPr="00AD5DCE">
        <w:rPr>
          <w:lang w:val="it-IT"/>
        </w:rPr>
        <w:t xml:space="preserve"> pages for </w:t>
      </w:r>
      <w:r w:rsidR="001E65BE" w:rsidRPr="00AD5DCE">
        <w:rPr>
          <w:lang w:val="it-IT"/>
        </w:rPr>
        <w:t>the research objectives</w:t>
      </w:r>
      <w:r w:rsidRPr="00AD5DCE">
        <w:rPr>
          <w:lang w:val="it-IT"/>
        </w:rPr>
        <w:t xml:space="preserve"> and methods, </w:t>
      </w:r>
      <w:r w:rsidR="00AB23DA">
        <w:rPr>
          <w:lang w:val="it-IT"/>
        </w:rPr>
        <w:t>32</w:t>
      </w:r>
      <w:r w:rsidRPr="00AD5DCE">
        <w:rPr>
          <w:lang w:val="it-IT"/>
        </w:rPr>
        <w:t xml:space="preserve"> pages for </w:t>
      </w:r>
      <w:r w:rsidR="001E65BE" w:rsidRPr="00AD5DCE">
        <w:rPr>
          <w:lang w:val="it-IT"/>
        </w:rPr>
        <w:t xml:space="preserve">the </w:t>
      </w:r>
      <w:r w:rsidRPr="00AD5DCE">
        <w:rPr>
          <w:lang w:val="it-IT"/>
        </w:rPr>
        <w:t xml:space="preserve">research results, </w:t>
      </w:r>
      <w:r w:rsidR="008C22AA" w:rsidRPr="00AD5DCE">
        <w:rPr>
          <w:lang w:val="it-IT"/>
        </w:rPr>
        <w:t>34</w:t>
      </w:r>
      <w:r w:rsidRPr="00AD5DCE">
        <w:rPr>
          <w:lang w:val="it-IT"/>
        </w:rPr>
        <w:t xml:space="preserve"> pages for </w:t>
      </w:r>
      <w:r w:rsidR="001E65BE" w:rsidRPr="00AD5DCE">
        <w:rPr>
          <w:lang w:val="it-IT"/>
        </w:rPr>
        <w:t xml:space="preserve">the </w:t>
      </w:r>
      <w:r w:rsidRPr="00AD5DCE">
        <w:rPr>
          <w:lang w:val="it-IT"/>
        </w:rPr>
        <w:t xml:space="preserve">discussion, 2 pages </w:t>
      </w:r>
      <w:r w:rsidR="004D2D10" w:rsidRPr="00AD5DCE">
        <w:rPr>
          <w:lang w:val="it-IT"/>
        </w:rPr>
        <w:t>for</w:t>
      </w:r>
      <w:r w:rsidRPr="00AD5DCE">
        <w:rPr>
          <w:lang w:val="it-IT"/>
        </w:rPr>
        <w:t xml:space="preserve"> </w:t>
      </w:r>
      <w:r w:rsidR="004D2D10" w:rsidRPr="00AD5DCE">
        <w:rPr>
          <w:lang w:val="it-IT"/>
        </w:rPr>
        <w:t xml:space="preserve">the </w:t>
      </w:r>
      <w:r w:rsidR="008C22AA" w:rsidRPr="00AD5DCE">
        <w:rPr>
          <w:lang w:val="it-IT"/>
        </w:rPr>
        <w:t>conclusion</w:t>
      </w:r>
      <w:r w:rsidR="008C22AA" w:rsidRPr="00AD5DCE">
        <w:rPr>
          <w:lang w:val="vi-VN"/>
        </w:rPr>
        <w:t xml:space="preserve">, </w:t>
      </w:r>
      <w:r w:rsidR="008C22AA" w:rsidRPr="00AD5DCE">
        <w:rPr>
          <w:lang w:val="it-IT"/>
        </w:rPr>
        <w:t>and</w:t>
      </w:r>
      <w:r w:rsidR="008C22AA" w:rsidRPr="00AD5DCE">
        <w:rPr>
          <w:lang w:val="vi-VN"/>
        </w:rPr>
        <w:t xml:space="preserve"> </w:t>
      </w:r>
      <w:r w:rsidR="008C22AA" w:rsidRPr="00AD5DCE">
        <w:t>1 page</w:t>
      </w:r>
      <w:r w:rsidR="008C22AA" w:rsidRPr="00AD5DCE">
        <w:rPr>
          <w:lang w:val="vi-VN"/>
        </w:rPr>
        <w:t xml:space="preserve"> for </w:t>
      </w:r>
      <w:r w:rsidR="008C22AA" w:rsidRPr="00AD5DCE">
        <w:t>Recommendations</w:t>
      </w:r>
      <w:r w:rsidRPr="00AD5DCE">
        <w:rPr>
          <w:lang w:val="it-IT"/>
        </w:rPr>
        <w:t xml:space="preserve">. The thesis has </w:t>
      </w:r>
      <w:r w:rsidR="008C22AA" w:rsidRPr="00AD5DCE">
        <w:rPr>
          <w:lang w:val="it-IT"/>
        </w:rPr>
        <w:t>41</w:t>
      </w:r>
      <w:r w:rsidRPr="00AD5DCE">
        <w:rPr>
          <w:lang w:val="it-IT"/>
        </w:rPr>
        <w:t xml:space="preserve"> tables, </w:t>
      </w:r>
      <w:r w:rsidR="008C22AA" w:rsidRPr="00AD5DCE">
        <w:rPr>
          <w:lang w:val="it-IT"/>
        </w:rPr>
        <w:t>08</w:t>
      </w:r>
      <w:r w:rsidRPr="00AD5DCE">
        <w:rPr>
          <w:lang w:val="it-IT"/>
        </w:rPr>
        <w:t xml:space="preserve"> charts, </w:t>
      </w:r>
      <w:r w:rsidR="008C22AA" w:rsidRPr="00AD5DCE">
        <w:rPr>
          <w:lang w:val="vi-VN"/>
        </w:rPr>
        <w:t>14</w:t>
      </w:r>
      <w:r w:rsidRPr="00AD5DCE">
        <w:rPr>
          <w:lang w:val="it-IT"/>
        </w:rPr>
        <w:t xml:space="preserve"> figures, 5 photos</w:t>
      </w:r>
      <w:r w:rsidR="004D2D10" w:rsidRPr="00AD5DCE">
        <w:rPr>
          <w:lang w:val="it-IT"/>
        </w:rPr>
        <w:t>,</w:t>
      </w:r>
      <w:r w:rsidRPr="00AD5DCE">
        <w:rPr>
          <w:lang w:val="it-IT"/>
        </w:rPr>
        <w:t xml:space="preserve"> and </w:t>
      </w:r>
      <w:r w:rsidR="008C22AA" w:rsidRPr="00AD5DCE">
        <w:t>2 diagrams</w:t>
      </w:r>
      <w:r w:rsidRPr="00AD5DCE">
        <w:rPr>
          <w:lang w:val="it-IT"/>
        </w:rPr>
        <w:t xml:space="preserve">. The thesis has </w:t>
      </w:r>
      <w:r w:rsidR="008C22AA" w:rsidRPr="00AD5DCE">
        <w:rPr>
          <w:lang w:val="it-IT"/>
        </w:rPr>
        <w:t>164</w:t>
      </w:r>
      <w:r w:rsidR="00AB34D7" w:rsidRPr="00AD5DCE">
        <w:rPr>
          <w:lang w:val="it-IT"/>
        </w:rPr>
        <w:t xml:space="preserve"> references (</w:t>
      </w:r>
      <w:r w:rsidR="008C22AA" w:rsidRPr="00AD5DCE">
        <w:rPr>
          <w:lang w:val="it-IT"/>
        </w:rPr>
        <w:t>22</w:t>
      </w:r>
      <w:r w:rsidRPr="00AD5DCE">
        <w:rPr>
          <w:lang w:val="it-IT"/>
        </w:rPr>
        <w:t xml:space="preserve"> Vietnamese </w:t>
      </w:r>
      <w:r w:rsidRPr="00AD5DCE">
        <w:rPr>
          <w:lang w:val="it-IT"/>
        </w:rPr>
        <w:lastRenderedPageBreak/>
        <w:t xml:space="preserve">documents and </w:t>
      </w:r>
      <w:r w:rsidR="008C22AA" w:rsidRPr="00AD5DCE">
        <w:rPr>
          <w:lang w:val="it-IT"/>
        </w:rPr>
        <w:t>142</w:t>
      </w:r>
      <w:r w:rsidRPr="00AD5DCE">
        <w:rPr>
          <w:lang w:val="it-IT"/>
        </w:rPr>
        <w:t xml:space="preserve"> English documents).</w:t>
      </w:r>
    </w:p>
    <w:p w14:paraId="6501DB80" w14:textId="29468FF6" w:rsidR="00820108" w:rsidRPr="00AD5DCE" w:rsidRDefault="00F76A65" w:rsidP="00AD5DCE">
      <w:pPr>
        <w:pStyle w:val="Heading1"/>
        <w:keepNext w:val="0"/>
        <w:widowControl w:val="0"/>
        <w:numPr>
          <w:ilvl w:val="0"/>
          <w:numId w:val="0"/>
        </w:numPr>
      </w:pPr>
      <w:r w:rsidRPr="00AD5DCE">
        <w:t>Chapter 1. OVERVIEW</w:t>
      </w:r>
    </w:p>
    <w:p w14:paraId="7D9D86FE" w14:textId="419C8402" w:rsidR="00135981" w:rsidRPr="00AD5DCE" w:rsidRDefault="00135981" w:rsidP="00AD5DCE">
      <w:pPr>
        <w:widowControl w:val="0"/>
        <w:spacing w:line="340" w:lineRule="exact"/>
        <w:ind w:firstLine="0"/>
        <w:rPr>
          <w:b/>
          <w:bCs/>
          <w:iCs/>
          <w:lang w:val="it-IT"/>
        </w:rPr>
      </w:pPr>
      <w:r w:rsidRPr="00AD5DCE">
        <w:rPr>
          <w:b/>
          <w:bCs/>
          <w:iCs/>
          <w:lang w:val="it-IT"/>
        </w:rPr>
        <w:t xml:space="preserve">1.1. </w:t>
      </w:r>
      <w:r w:rsidR="008C22AA" w:rsidRPr="00AD5DCE">
        <w:rPr>
          <w:b/>
          <w:bCs/>
          <w:iCs/>
        </w:rPr>
        <w:t>Hepatocellular Carcinoma</w:t>
      </w:r>
    </w:p>
    <w:p w14:paraId="1F50B3FD" w14:textId="65E24199" w:rsidR="00135981" w:rsidRPr="00AD5DCE" w:rsidRDefault="00135981" w:rsidP="00AD5DCE">
      <w:pPr>
        <w:widowControl w:val="0"/>
        <w:spacing w:line="340" w:lineRule="exact"/>
        <w:ind w:firstLine="0"/>
        <w:rPr>
          <w:b/>
          <w:bCs/>
          <w:i/>
          <w:iCs/>
          <w:lang w:val="it-IT"/>
        </w:rPr>
      </w:pPr>
      <w:r w:rsidRPr="00AD5DCE">
        <w:rPr>
          <w:b/>
          <w:bCs/>
          <w:i/>
          <w:iCs/>
          <w:lang w:val="it-IT"/>
        </w:rPr>
        <w:t xml:space="preserve">1.1.1. </w:t>
      </w:r>
      <w:r w:rsidR="00757ECA" w:rsidRPr="00757ECA">
        <w:rPr>
          <w:b/>
          <w:bCs/>
          <w:i/>
          <w:iCs/>
        </w:rPr>
        <w:t>Epidemiology of hepatocellular carcinoma</w:t>
      </w:r>
      <w:r w:rsidR="00757ECA">
        <w:rPr>
          <w:b/>
          <w:bCs/>
          <w:i/>
          <w:iCs/>
          <w:lang w:val="vi-VN"/>
        </w:rPr>
        <w:t xml:space="preserve"> </w:t>
      </w:r>
    </w:p>
    <w:p w14:paraId="4A79512E" w14:textId="77777777" w:rsidR="001D4C71" w:rsidRPr="001D4C71" w:rsidRDefault="001D4C71" w:rsidP="00AD5DCE">
      <w:pPr>
        <w:widowControl w:val="0"/>
        <w:spacing w:line="340" w:lineRule="exact"/>
        <w:ind w:firstLine="720"/>
        <w:rPr>
          <w:bCs/>
          <w:lang w:val="vi-VN"/>
        </w:rPr>
      </w:pPr>
      <w:r w:rsidRPr="001D4C71">
        <w:rPr>
          <w:bCs/>
          <w:lang w:val="vi-VN"/>
        </w:rPr>
        <w:t>Hepatocellular carcinoma (HCC) is a primary liver cancer arising from hepatocytes. It ranks fifth in incidence and third in cancer-related mortality worldwide, accounting for approximately 4.3% of all cancers. In 2022, an estimated 865,269 new cases and 757,948 deaths due to liver cancer were reported globally, of which 50–80% were HCC.</w:t>
      </w:r>
    </w:p>
    <w:p w14:paraId="6E30763E" w14:textId="77777777" w:rsidR="001D4C71" w:rsidRPr="00AD5DCE" w:rsidRDefault="001D4C71" w:rsidP="00AD5DCE">
      <w:pPr>
        <w:widowControl w:val="0"/>
        <w:spacing w:line="340" w:lineRule="exact"/>
        <w:ind w:firstLine="720"/>
        <w:rPr>
          <w:bCs/>
          <w:lang w:val="vi-VN"/>
        </w:rPr>
      </w:pPr>
      <w:r w:rsidRPr="001D4C71">
        <w:rPr>
          <w:bCs/>
          <w:lang w:val="vi-VN"/>
        </w:rPr>
        <w:t>In Vietnam, HCC ranks second in incidence and first in cancer-related mortality, with an estimated 24,502 new cases and 23,333 deaths in 2022. Vietnam has the third-highest age-standardized incidence and mortality rates for liver cancer in Southeast Asia, after Laos and Cambodia.</w:t>
      </w:r>
    </w:p>
    <w:p w14:paraId="5B6F70C9" w14:textId="5D92B088" w:rsidR="001D4C71" w:rsidRPr="001D4C71" w:rsidRDefault="001D4C71" w:rsidP="00AD5DCE">
      <w:pPr>
        <w:widowControl w:val="0"/>
        <w:spacing w:line="340" w:lineRule="exact"/>
        <w:ind w:firstLine="0"/>
        <w:rPr>
          <w:b/>
          <w:i/>
          <w:iCs/>
          <w:lang w:val="vi-VN"/>
        </w:rPr>
      </w:pPr>
      <w:r w:rsidRPr="001D4C71">
        <w:rPr>
          <w:b/>
          <w:i/>
          <w:iCs/>
          <w:lang w:val="vi-VN"/>
        </w:rPr>
        <w:t xml:space="preserve">1.1.2. </w:t>
      </w:r>
      <w:r w:rsidR="0049643F">
        <w:rPr>
          <w:b/>
          <w:i/>
          <w:iCs/>
          <w:lang w:val="vi-VN"/>
        </w:rPr>
        <w:t>R</w:t>
      </w:r>
      <w:r w:rsidR="0049643F" w:rsidRPr="001D4C71">
        <w:rPr>
          <w:b/>
          <w:i/>
          <w:iCs/>
          <w:lang w:val="vi-VN"/>
        </w:rPr>
        <w:t>isk factors for hepatocellular carcinoma</w:t>
      </w:r>
    </w:p>
    <w:p w14:paraId="5D46BB97" w14:textId="7E9C581E" w:rsidR="001D4C71" w:rsidRPr="001D4C71" w:rsidRDefault="001D4C71" w:rsidP="00AD5DCE">
      <w:pPr>
        <w:widowControl w:val="0"/>
        <w:spacing w:line="340" w:lineRule="exact"/>
        <w:ind w:firstLine="720"/>
        <w:rPr>
          <w:bCs/>
          <w:lang w:val="vi-VN"/>
        </w:rPr>
      </w:pPr>
      <w:r w:rsidRPr="001D4C71">
        <w:rPr>
          <w:bCs/>
          <w:lang w:val="vi-VN"/>
        </w:rPr>
        <w:t xml:space="preserve">Most HCC cases develop in the setting of </w:t>
      </w:r>
      <w:r w:rsidR="00374D18">
        <w:rPr>
          <w:bCs/>
          <w:lang w:val="vi-VN"/>
        </w:rPr>
        <w:t>LC</w:t>
      </w:r>
      <w:r w:rsidRPr="001D4C71">
        <w:rPr>
          <w:bCs/>
          <w:lang w:val="vi-VN"/>
        </w:rPr>
        <w:t xml:space="preserve">. Cirrhosis of any etiology (viral hepatitis, alcohol abuse, etc.) increases the risk of HCC. However, HCC may also occur in the absence of </w:t>
      </w:r>
      <w:r w:rsidR="0049643F">
        <w:rPr>
          <w:bCs/>
          <w:lang w:val="vi-VN"/>
        </w:rPr>
        <w:t>LC</w:t>
      </w:r>
      <w:r w:rsidRPr="001D4C71">
        <w:rPr>
          <w:bCs/>
          <w:lang w:val="vi-VN"/>
        </w:rPr>
        <w:t xml:space="preserve"> in certain conditions, such as aflatoxin B1 exposure, HBV genome integration into host cells, or metabolic disorders like non-alcoholic fatty liver disease (NAFLD).</w:t>
      </w:r>
    </w:p>
    <w:p w14:paraId="7D977142" w14:textId="77777777" w:rsidR="001D4C71" w:rsidRPr="001D4C71" w:rsidRDefault="001D4C71" w:rsidP="00AD5DCE">
      <w:pPr>
        <w:widowControl w:val="0"/>
        <w:spacing w:line="340" w:lineRule="exact"/>
        <w:ind w:firstLine="720"/>
        <w:rPr>
          <w:bCs/>
          <w:lang w:val="vi-VN"/>
        </w:rPr>
      </w:pPr>
      <w:r w:rsidRPr="001D4C71">
        <w:rPr>
          <w:bCs/>
          <w:lang w:val="vi-VN"/>
        </w:rPr>
        <w:t>Major risk factors for HCC include alcohol abuse, HBV, HCV, HDV infections, NAFLD, metabolic syndrome, type 2 diabetes mellitus, smoking, aflatoxin B1 exposure, and occupational exposure to toxic substances such as vinyl chloride. Less common risk factors include primary biliary cholangitis, hemochromatosis, and α1-antitrypsin deficiency.</w:t>
      </w:r>
    </w:p>
    <w:p w14:paraId="35E0F646" w14:textId="5637D017" w:rsidR="001D4C71" w:rsidRPr="001D4C71" w:rsidRDefault="001D4C71" w:rsidP="00AD5DCE">
      <w:pPr>
        <w:widowControl w:val="0"/>
        <w:spacing w:line="340" w:lineRule="exact"/>
        <w:ind w:firstLine="0"/>
        <w:rPr>
          <w:b/>
          <w:i/>
          <w:iCs/>
          <w:lang w:val="vi-VN"/>
        </w:rPr>
      </w:pPr>
      <w:r w:rsidRPr="001D4C71">
        <w:rPr>
          <w:b/>
          <w:i/>
          <w:iCs/>
          <w:lang w:val="vi-VN"/>
        </w:rPr>
        <w:lastRenderedPageBreak/>
        <w:t xml:space="preserve">1.1.3. Pathogenesis </w:t>
      </w:r>
      <w:r w:rsidR="0049643F" w:rsidRPr="001D4C71">
        <w:rPr>
          <w:b/>
          <w:i/>
          <w:iCs/>
          <w:lang w:val="vi-VN"/>
        </w:rPr>
        <w:t>of hepatocellular carcinoma</w:t>
      </w:r>
    </w:p>
    <w:p w14:paraId="1254BAAB" w14:textId="77777777" w:rsidR="001D4C71" w:rsidRPr="001D4C71" w:rsidRDefault="001D4C71" w:rsidP="00AD5DCE">
      <w:pPr>
        <w:widowControl w:val="0"/>
        <w:spacing w:line="340" w:lineRule="exact"/>
        <w:ind w:firstLine="720"/>
        <w:rPr>
          <w:bCs/>
          <w:lang w:val="vi-VN"/>
        </w:rPr>
      </w:pPr>
      <w:r w:rsidRPr="001D4C71">
        <w:rPr>
          <w:bCs/>
          <w:lang w:val="vi-VN"/>
        </w:rPr>
        <w:t>The development of HCC is a complex, multistep process involving genetic, environmental, and biological factors, including:</w:t>
      </w:r>
    </w:p>
    <w:p w14:paraId="5789E06D" w14:textId="19E04DAD" w:rsidR="001D4C71" w:rsidRPr="001D4C71" w:rsidRDefault="001D4C71" w:rsidP="00AD5DCE">
      <w:pPr>
        <w:widowControl w:val="0"/>
        <w:spacing w:line="340" w:lineRule="exact"/>
        <w:ind w:firstLine="720"/>
        <w:rPr>
          <w:bCs/>
          <w:lang w:val="vi-VN"/>
        </w:rPr>
      </w:pPr>
      <w:r w:rsidRPr="00AD5DCE">
        <w:rPr>
          <w:bCs/>
          <w:lang w:val="vi-VN"/>
        </w:rPr>
        <w:t xml:space="preserve">- </w:t>
      </w:r>
      <w:r w:rsidRPr="001D4C71">
        <w:rPr>
          <w:bCs/>
          <w:lang w:val="vi-VN"/>
        </w:rPr>
        <w:t>Chronic liver injury and inflammation</w:t>
      </w:r>
    </w:p>
    <w:p w14:paraId="5F73992D" w14:textId="11A00DC6" w:rsidR="001D4C71" w:rsidRPr="001D4C71" w:rsidRDefault="001D4C71" w:rsidP="00AD5DCE">
      <w:pPr>
        <w:widowControl w:val="0"/>
        <w:spacing w:line="340" w:lineRule="exact"/>
        <w:ind w:firstLine="720"/>
        <w:rPr>
          <w:bCs/>
          <w:lang w:val="vi-VN"/>
        </w:rPr>
      </w:pPr>
      <w:r w:rsidRPr="00AD5DCE">
        <w:rPr>
          <w:bCs/>
          <w:lang w:val="vi-VN"/>
        </w:rPr>
        <w:t xml:space="preserve">- </w:t>
      </w:r>
      <w:r w:rsidRPr="001D4C71">
        <w:rPr>
          <w:bCs/>
          <w:lang w:val="vi-VN"/>
        </w:rPr>
        <w:t>Genetic mutations and genomic instability</w:t>
      </w:r>
    </w:p>
    <w:p w14:paraId="70C83C8B" w14:textId="79900069" w:rsidR="001D4C71" w:rsidRPr="001D4C71" w:rsidRDefault="001D4C71" w:rsidP="00AD5DCE">
      <w:pPr>
        <w:widowControl w:val="0"/>
        <w:spacing w:line="340" w:lineRule="exact"/>
        <w:ind w:firstLine="720"/>
        <w:rPr>
          <w:bCs/>
          <w:lang w:val="vi-VN"/>
        </w:rPr>
      </w:pPr>
      <w:r w:rsidRPr="00AD5DCE">
        <w:rPr>
          <w:bCs/>
          <w:lang w:val="vi-VN"/>
        </w:rPr>
        <w:t xml:space="preserve">- </w:t>
      </w:r>
      <w:r w:rsidRPr="001D4C71">
        <w:rPr>
          <w:bCs/>
          <w:lang w:val="vi-VN"/>
        </w:rPr>
        <w:t>Epigenetic dysregulation</w:t>
      </w:r>
    </w:p>
    <w:p w14:paraId="4CC7A199" w14:textId="7BB3265E" w:rsidR="001D4C71" w:rsidRPr="001D4C71" w:rsidRDefault="001D4C71" w:rsidP="00AD5DCE">
      <w:pPr>
        <w:widowControl w:val="0"/>
        <w:spacing w:line="340" w:lineRule="exact"/>
        <w:ind w:firstLine="720"/>
        <w:rPr>
          <w:bCs/>
          <w:lang w:val="vi-VN"/>
        </w:rPr>
      </w:pPr>
      <w:r w:rsidRPr="00AD5DCE">
        <w:rPr>
          <w:bCs/>
          <w:lang w:val="vi-VN"/>
        </w:rPr>
        <w:t xml:space="preserve">- </w:t>
      </w:r>
      <w:r w:rsidRPr="001D4C71">
        <w:rPr>
          <w:bCs/>
          <w:lang w:val="vi-VN"/>
        </w:rPr>
        <w:t>Dysregulation of intracellular signaling pathways</w:t>
      </w:r>
    </w:p>
    <w:p w14:paraId="4CBB07AA" w14:textId="77777777" w:rsidR="001D4C71" w:rsidRPr="001D4C71" w:rsidRDefault="001D4C71" w:rsidP="00AD5DCE">
      <w:pPr>
        <w:widowControl w:val="0"/>
        <w:tabs>
          <w:tab w:val="num" w:pos="360"/>
        </w:tabs>
        <w:spacing w:line="340" w:lineRule="exact"/>
        <w:ind w:firstLine="0"/>
        <w:rPr>
          <w:b/>
          <w:lang w:val="vi-VN"/>
        </w:rPr>
      </w:pPr>
      <w:r w:rsidRPr="001D4C71">
        <w:rPr>
          <w:b/>
          <w:lang w:val="vi-VN"/>
        </w:rPr>
        <w:t>1.2. Hepatitis B Virus</w:t>
      </w:r>
    </w:p>
    <w:p w14:paraId="3E21DADA" w14:textId="2E2F18B7" w:rsidR="001D4C71" w:rsidRPr="001D4C71" w:rsidRDefault="001D4C71" w:rsidP="00AD5DCE">
      <w:pPr>
        <w:widowControl w:val="0"/>
        <w:tabs>
          <w:tab w:val="num" w:pos="360"/>
        </w:tabs>
        <w:spacing w:line="340" w:lineRule="exact"/>
        <w:ind w:firstLine="0"/>
        <w:rPr>
          <w:b/>
          <w:i/>
          <w:iCs/>
          <w:lang w:val="vi-VN"/>
        </w:rPr>
      </w:pPr>
      <w:r w:rsidRPr="001D4C71">
        <w:rPr>
          <w:b/>
          <w:i/>
          <w:iCs/>
          <w:lang w:val="vi-VN"/>
        </w:rPr>
        <w:t>1.2.1. Structure</w:t>
      </w:r>
      <w:r w:rsidR="0049643F" w:rsidRPr="001D4C71">
        <w:rPr>
          <w:b/>
          <w:i/>
          <w:iCs/>
          <w:lang w:val="vi-VN"/>
        </w:rPr>
        <w:t xml:space="preserve"> of </w:t>
      </w:r>
      <w:r w:rsidR="005B5D37">
        <w:rPr>
          <w:b/>
          <w:i/>
          <w:iCs/>
          <w:lang w:val="vi-VN"/>
        </w:rPr>
        <w:t>hepatitis B virus</w:t>
      </w:r>
    </w:p>
    <w:p w14:paraId="33D5ABB9" w14:textId="77777777" w:rsidR="001D4C71" w:rsidRPr="001D4C71" w:rsidRDefault="001D4C71" w:rsidP="00AD5DCE">
      <w:pPr>
        <w:widowControl w:val="0"/>
        <w:spacing w:line="340" w:lineRule="exact"/>
        <w:ind w:firstLine="720"/>
        <w:rPr>
          <w:bCs/>
          <w:lang w:val="vi-VN"/>
        </w:rPr>
      </w:pPr>
      <w:r w:rsidRPr="001D4C71">
        <w:rPr>
          <w:bCs/>
          <w:lang w:val="vi-VN"/>
        </w:rPr>
        <w:t>Hepatitis B virus (HBV) belongs to the family Hepadnaviridae and contains partially double-stranded relaxed circular DNA (rcDNA).</w:t>
      </w:r>
    </w:p>
    <w:p w14:paraId="27299979" w14:textId="77777777" w:rsidR="001D4C71" w:rsidRPr="001D4C71" w:rsidRDefault="001D4C71" w:rsidP="00AD5DCE">
      <w:pPr>
        <w:widowControl w:val="0"/>
        <w:spacing w:line="340" w:lineRule="exact"/>
        <w:ind w:firstLine="720"/>
        <w:rPr>
          <w:bCs/>
          <w:lang w:val="vi-VN"/>
        </w:rPr>
      </w:pPr>
      <w:r w:rsidRPr="001D4C71">
        <w:rPr>
          <w:bCs/>
          <w:lang w:val="vi-VN"/>
        </w:rPr>
        <w:t>The Dane particle is a complete spherical virion approximately 42 nm in diameter. Its outer envelope is composed of hepatitis B surface antigen (HBsAg), including three proteins: large (L), middle (M), and small (S). The inner nucleocapsid, approximately 28 nm in diameter, consists of hepatitis B core antigen (HBcAg) and encloses the 3.2 kb viral genome along with viral polymerase and protein kinase.</w:t>
      </w:r>
    </w:p>
    <w:p w14:paraId="01F17274" w14:textId="77777777" w:rsidR="001D4C71" w:rsidRPr="001D4C71" w:rsidRDefault="001D4C71" w:rsidP="00AD5DCE">
      <w:pPr>
        <w:widowControl w:val="0"/>
        <w:spacing w:line="340" w:lineRule="exact"/>
        <w:ind w:firstLine="720"/>
        <w:rPr>
          <w:bCs/>
          <w:lang w:val="vi-VN"/>
        </w:rPr>
      </w:pPr>
      <w:r w:rsidRPr="001D4C71">
        <w:rPr>
          <w:bCs/>
          <w:lang w:val="vi-VN"/>
        </w:rPr>
        <w:t xml:space="preserve">The HBV genome contains four overlapping open reading frames (ORFs): </w:t>
      </w:r>
      <w:r w:rsidRPr="001D4C71">
        <w:rPr>
          <w:bCs/>
          <w:i/>
          <w:iCs/>
          <w:lang w:val="vi-VN"/>
        </w:rPr>
        <w:t>S, C, P</w:t>
      </w:r>
      <w:r w:rsidRPr="001D4C71">
        <w:rPr>
          <w:bCs/>
          <w:lang w:val="vi-VN"/>
        </w:rPr>
        <w:t xml:space="preserve">, and </w:t>
      </w:r>
      <w:r w:rsidRPr="001D4C71">
        <w:rPr>
          <w:bCs/>
          <w:i/>
          <w:iCs/>
          <w:lang w:val="vi-VN"/>
        </w:rPr>
        <w:t>X</w:t>
      </w:r>
      <w:r w:rsidRPr="001D4C71">
        <w:rPr>
          <w:bCs/>
          <w:lang w:val="vi-VN"/>
        </w:rPr>
        <w:t xml:space="preserve">, encoding surface proteins, core/precore proteins, polymerase, and the </w:t>
      </w:r>
      <w:r w:rsidRPr="001D4C71">
        <w:rPr>
          <w:bCs/>
          <w:i/>
          <w:iCs/>
          <w:lang w:val="vi-VN"/>
        </w:rPr>
        <w:t>X</w:t>
      </w:r>
      <w:r w:rsidRPr="001D4C71">
        <w:rPr>
          <w:bCs/>
          <w:lang w:val="vi-VN"/>
        </w:rPr>
        <w:t xml:space="preserve"> protein, respectively.</w:t>
      </w:r>
    </w:p>
    <w:p w14:paraId="26C08829" w14:textId="336ACF22" w:rsidR="001D4C71" w:rsidRPr="001D4C71" w:rsidRDefault="001D4C71" w:rsidP="00AD5DCE">
      <w:pPr>
        <w:widowControl w:val="0"/>
        <w:spacing w:line="340" w:lineRule="exact"/>
        <w:ind w:firstLine="720"/>
        <w:rPr>
          <w:bCs/>
          <w:lang w:val="vi-VN"/>
        </w:rPr>
      </w:pPr>
      <w:r w:rsidRPr="001D4C71">
        <w:rPr>
          <w:bCs/>
          <w:lang w:val="vi-VN"/>
        </w:rPr>
        <w:t xml:space="preserve">The </w:t>
      </w:r>
      <w:r w:rsidRPr="001D4C71">
        <w:rPr>
          <w:bCs/>
          <w:i/>
          <w:iCs/>
          <w:lang w:val="vi-VN"/>
        </w:rPr>
        <w:t>S</w:t>
      </w:r>
      <w:r w:rsidRPr="001D4C71">
        <w:rPr>
          <w:bCs/>
          <w:lang w:val="vi-VN"/>
        </w:rPr>
        <w:t xml:space="preserve"> gene (also known as the </w:t>
      </w:r>
      <w:r w:rsidR="00EF225C">
        <w:rPr>
          <w:bCs/>
          <w:i/>
          <w:iCs/>
          <w:lang w:val="vi-VN"/>
        </w:rPr>
        <w:t>preS</w:t>
      </w:r>
      <w:r w:rsidR="005B5D37" w:rsidRPr="005B5D37">
        <w:rPr>
          <w:bCs/>
          <w:i/>
          <w:iCs/>
          <w:lang w:val="vi-VN"/>
        </w:rPr>
        <w:t>/S</w:t>
      </w:r>
      <w:r w:rsidRPr="001D4C71">
        <w:rPr>
          <w:bCs/>
          <w:lang w:val="vi-VN"/>
        </w:rPr>
        <w:t xml:space="preserve"> gene) encodes HBsAg and consists of three regions: </w:t>
      </w:r>
      <w:r w:rsidR="00496AF8" w:rsidRPr="00496AF8">
        <w:rPr>
          <w:bCs/>
          <w:i/>
          <w:iCs/>
          <w:lang w:val="vi-VN"/>
        </w:rPr>
        <w:t>preS1</w:t>
      </w:r>
      <w:r w:rsidRPr="001D4C71">
        <w:rPr>
          <w:bCs/>
          <w:lang w:val="vi-VN"/>
        </w:rPr>
        <w:t xml:space="preserve">, </w:t>
      </w:r>
      <w:r w:rsidR="00496AF8" w:rsidRPr="00496AF8">
        <w:rPr>
          <w:bCs/>
          <w:i/>
          <w:iCs/>
          <w:lang w:val="vi-VN"/>
        </w:rPr>
        <w:t>preS2</w:t>
      </w:r>
      <w:r w:rsidRPr="001D4C71">
        <w:rPr>
          <w:bCs/>
          <w:lang w:val="vi-VN"/>
        </w:rPr>
        <w:t xml:space="preserve">, and </w:t>
      </w:r>
      <w:r w:rsidRPr="001D4C71">
        <w:rPr>
          <w:bCs/>
          <w:i/>
          <w:iCs/>
          <w:lang w:val="vi-VN"/>
        </w:rPr>
        <w:t>S</w:t>
      </w:r>
      <w:r w:rsidRPr="001D4C71">
        <w:rPr>
          <w:bCs/>
          <w:lang w:val="vi-VN"/>
        </w:rPr>
        <w:t>, producing:</w:t>
      </w:r>
    </w:p>
    <w:p w14:paraId="43345354" w14:textId="77777777" w:rsidR="001D4C71" w:rsidRPr="001D4C71" w:rsidRDefault="001D4C71" w:rsidP="00AD5DCE">
      <w:pPr>
        <w:widowControl w:val="0"/>
        <w:tabs>
          <w:tab w:val="num" w:pos="720"/>
        </w:tabs>
        <w:spacing w:line="340" w:lineRule="exact"/>
        <w:ind w:firstLine="720"/>
        <w:rPr>
          <w:bCs/>
          <w:lang w:val="vi-VN"/>
        </w:rPr>
      </w:pPr>
      <w:r w:rsidRPr="001D4C71">
        <w:rPr>
          <w:bCs/>
          <w:lang w:val="vi-VN"/>
        </w:rPr>
        <w:t>Small (S) protein</w:t>
      </w:r>
    </w:p>
    <w:p w14:paraId="496DA478" w14:textId="63D858E3" w:rsidR="001D4C71" w:rsidRPr="001D4C71" w:rsidRDefault="001D4C71" w:rsidP="00AD5DCE">
      <w:pPr>
        <w:widowControl w:val="0"/>
        <w:tabs>
          <w:tab w:val="num" w:pos="720"/>
        </w:tabs>
        <w:spacing w:line="340" w:lineRule="exact"/>
        <w:ind w:firstLine="720"/>
        <w:rPr>
          <w:bCs/>
          <w:lang w:val="vi-VN"/>
        </w:rPr>
      </w:pPr>
      <w:r w:rsidRPr="001D4C71">
        <w:rPr>
          <w:bCs/>
          <w:lang w:val="vi-VN"/>
        </w:rPr>
        <w:t>Middle (M) protein (</w:t>
      </w:r>
      <w:r w:rsidR="00496AF8" w:rsidRPr="00496AF8">
        <w:rPr>
          <w:bCs/>
          <w:i/>
          <w:iCs/>
          <w:lang w:val="vi-VN"/>
        </w:rPr>
        <w:t>preS2</w:t>
      </w:r>
      <w:r w:rsidRPr="001D4C71">
        <w:rPr>
          <w:bCs/>
          <w:i/>
          <w:iCs/>
          <w:lang w:val="vi-VN"/>
        </w:rPr>
        <w:t xml:space="preserve"> + S</w:t>
      </w:r>
      <w:r w:rsidRPr="001D4C71">
        <w:rPr>
          <w:bCs/>
          <w:lang w:val="vi-VN"/>
        </w:rPr>
        <w:t>)</w:t>
      </w:r>
    </w:p>
    <w:p w14:paraId="0E4B591A" w14:textId="416EC5ED" w:rsidR="001D4C71" w:rsidRPr="001D4C71" w:rsidRDefault="001D4C71" w:rsidP="00AD5DCE">
      <w:pPr>
        <w:widowControl w:val="0"/>
        <w:tabs>
          <w:tab w:val="num" w:pos="720"/>
        </w:tabs>
        <w:spacing w:line="340" w:lineRule="exact"/>
        <w:ind w:firstLine="720"/>
        <w:rPr>
          <w:bCs/>
          <w:lang w:val="vi-VN"/>
        </w:rPr>
      </w:pPr>
      <w:r w:rsidRPr="001D4C71">
        <w:rPr>
          <w:bCs/>
          <w:lang w:val="vi-VN"/>
        </w:rPr>
        <w:t>Large (L) protein (</w:t>
      </w:r>
      <w:r w:rsidR="00496AF8" w:rsidRPr="00496AF8">
        <w:rPr>
          <w:bCs/>
          <w:i/>
          <w:iCs/>
          <w:lang w:val="vi-VN"/>
        </w:rPr>
        <w:t>preS1</w:t>
      </w:r>
      <w:r w:rsidRPr="001D4C71">
        <w:rPr>
          <w:bCs/>
          <w:i/>
          <w:iCs/>
          <w:lang w:val="vi-VN"/>
        </w:rPr>
        <w:t xml:space="preserve"> + </w:t>
      </w:r>
      <w:r w:rsidR="00496AF8" w:rsidRPr="00496AF8">
        <w:rPr>
          <w:bCs/>
          <w:i/>
          <w:iCs/>
          <w:lang w:val="vi-VN"/>
        </w:rPr>
        <w:t>preS2</w:t>
      </w:r>
      <w:r w:rsidRPr="001D4C71">
        <w:rPr>
          <w:bCs/>
          <w:i/>
          <w:iCs/>
          <w:lang w:val="vi-VN"/>
        </w:rPr>
        <w:t xml:space="preserve"> + S</w:t>
      </w:r>
      <w:r w:rsidRPr="001D4C71">
        <w:rPr>
          <w:bCs/>
          <w:lang w:val="vi-VN"/>
        </w:rPr>
        <w:t>)</w:t>
      </w:r>
    </w:p>
    <w:p w14:paraId="7BA5F530" w14:textId="4C72F96D" w:rsidR="001D4C71" w:rsidRPr="001D4C71" w:rsidRDefault="001D4C71" w:rsidP="00AD5DCE">
      <w:pPr>
        <w:widowControl w:val="0"/>
        <w:spacing w:line="340" w:lineRule="exact"/>
        <w:ind w:firstLine="720"/>
        <w:rPr>
          <w:bCs/>
          <w:lang w:val="vi-VN"/>
        </w:rPr>
      </w:pPr>
      <w:r w:rsidRPr="001D4C71">
        <w:rPr>
          <w:bCs/>
          <w:lang w:val="vi-VN"/>
        </w:rPr>
        <w:t>These proteins are essential for viral attachment and entry into hepatocytes. The</w:t>
      </w:r>
      <w:r w:rsidRPr="001D4C71">
        <w:rPr>
          <w:bCs/>
          <w:i/>
          <w:iCs/>
          <w:lang w:val="vi-VN"/>
        </w:rPr>
        <w:t xml:space="preserve"> </w:t>
      </w:r>
      <w:r w:rsidR="00496AF8" w:rsidRPr="00496AF8">
        <w:rPr>
          <w:bCs/>
          <w:i/>
          <w:iCs/>
          <w:lang w:val="vi-VN"/>
        </w:rPr>
        <w:t>preS1</w:t>
      </w:r>
      <w:r w:rsidRPr="001D4C71">
        <w:rPr>
          <w:bCs/>
          <w:i/>
          <w:iCs/>
          <w:lang w:val="vi-VN"/>
        </w:rPr>
        <w:t xml:space="preserve"> </w:t>
      </w:r>
      <w:r w:rsidRPr="001D4C71">
        <w:rPr>
          <w:bCs/>
          <w:lang w:val="vi-VN"/>
        </w:rPr>
        <w:t xml:space="preserve">region of the L protein directly binds NTCP, </w:t>
      </w:r>
      <w:r w:rsidRPr="001D4C71">
        <w:rPr>
          <w:bCs/>
          <w:lang w:val="vi-VN"/>
        </w:rPr>
        <w:lastRenderedPageBreak/>
        <w:t xml:space="preserve">while the </w:t>
      </w:r>
      <w:r w:rsidR="00496AF8" w:rsidRPr="00496AF8">
        <w:rPr>
          <w:bCs/>
          <w:i/>
          <w:iCs/>
          <w:lang w:val="vi-VN"/>
        </w:rPr>
        <w:t>preS2</w:t>
      </w:r>
      <w:r w:rsidRPr="001D4C71">
        <w:rPr>
          <w:bCs/>
          <w:lang w:val="vi-VN"/>
        </w:rPr>
        <w:t xml:space="preserve"> region binds human serum albumin, acting as an intermediary.</w:t>
      </w:r>
    </w:p>
    <w:p w14:paraId="69767401" w14:textId="3612725F" w:rsidR="001D4C71" w:rsidRPr="001D4C71" w:rsidRDefault="001D4C71" w:rsidP="00AD5DCE">
      <w:pPr>
        <w:widowControl w:val="0"/>
        <w:spacing w:line="340" w:lineRule="exact"/>
        <w:ind w:firstLine="0"/>
        <w:outlineLvl w:val="1"/>
        <w:rPr>
          <w:b/>
          <w:i/>
          <w:iCs/>
          <w:lang w:val="vi-VN"/>
        </w:rPr>
      </w:pPr>
      <w:r w:rsidRPr="001D4C71">
        <w:rPr>
          <w:b/>
          <w:i/>
          <w:iCs/>
          <w:lang w:val="vi-VN"/>
        </w:rPr>
        <w:t xml:space="preserve">1.2.2. HBV </w:t>
      </w:r>
      <w:r w:rsidR="00EF225C">
        <w:rPr>
          <w:b/>
          <w:i/>
          <w:iCs/>
          <w:lang w:val="vi-VN"/>
        </w:rPr>
        <w:t>preS</w:t>
      </w:r>
      <w:r w:rsidR="005B5D37" w:rsidRPr="005B5D37">
        <w:rPr>
          <w:b/>
          <w:i/>
          <w:iCs/>
          <w:lang w:val="vi-VN"/>
        </w:rPr>
        <w:t>/S</w:t>
      </w:r>
      <w:r w:rsidRPr="001D4C71">
        <w:rPr>
          <w:b/>
          <w:i/>
          <w:iCs/>
          <w:lang w:val="vi-VN"/>
        </w:rPr>
        <w:t xml:space="preserve"> </w:t>
      </w:r>
      <w:r w:rsidR="0049643F" w:rsidRPr="001D4C71">
        <w:rPr>
          <w:b/>
          <w:i/>
          <w:iCs/>
          <w:lang w:val="vi-VN"/>
        </w:rPr>
        <w:t>gene mutations associated with hepatocellular carcinoma</w:t>
      </w:r>
    </w:p>
    <w:p w14:paraId="004D2AA6" w14:textId="132952B0" w:rsidR="001D4C71" w:rsidRPr="001D4C71" w:rsidRDefault="001D4C71" w:rsidP="00AD5DCE">
      <w:pPr>
        <w:widowControl w:val="0"/>
        <w:spacing w:line="340" w:lineRule="exact"/>
        <w:ind w:firstLine="720"/>
        <w:rPr>
          <w:bCs/>
          <w:lang w:val="vi-VN"/>
        </w:rPr>
      </w:pPr>
      <w:r w:rsidRPr="001D4C71">
        <w:rPr>
          <w:bCs/>
          <w:lang w:val="vi-VN"/>
        </w:rPr>
        <w:t xml:space="preserve">Accumulating evidence indicates that mutations in the HBV </w:t>
      </w:r>
      <w:r w:rsidR="00EF225C">
        <w:rPr>
          <w:bCs/>
          <w:i/>
          <w:iCs/>
          <w:lang w:val="vi-VN"/>
        </w:rPr>
        <w:t>preS</w:t>
      </w:r>
      <w:r w:rsidR="005B5D37" w:rsidRPr="005B5D37">
        <w:rPr>
          <w:bCs/>
          <w:i/>
          <w:iCs/>
          <w:lang w:val="vi-VN"/>
        </w:rPr>
        <w:t>/S</w:t>
      </w:r>
      <w:r w:rsidRPr="001D4C71">
        <w:rPr>
          <w:bCs/>
          <w:lang w:val="vi-VN"/>
        </w:rPr>
        <w:t xml:space="preserve"> gene are associated with both acute and chronic liver diseases, including hepatocellular carcinoma (HCC). Notably, the frequency of </w:t>
      </w:r>
      <w:r w:rsidR="00EF225C">
        <w:rPr>
          <w:bCs/>
          <w:i/>
          <w:iCs/>
          <w:lang w:val="vi-VN"/>
        </w:rPr>
        <w:t>preS</w:t>
      </w:r>
      <w:r w:rsidR="005B5D37" w:rsidRPr="005B5D37">
        <w:rPr>
          <w:bCs/>
          <w:i/>
          <w:iCs/>
          <w:lang w:val="vi-VN"/>
        </w:rPr>
        <w:t>/S</w:t>
      </w:r>
      <w:r w:rsidRPr="001D4C71">
        <w:rPr>
          <w:bCs/>
          <w:lang w:val="vi-VN"/>
        </w:rPr>
        <w:t xml:space="preserve"> mutations progressively increases across different stages of chronic HBV infection. Previous studies have reported that up to 60% of HBV-related HCC patients harbor </w:t>
      </w:r>
      <w:r w:rsidR="00EF225C">
        <w:rPr>
          <w:bCs/>
          <w:i/>
          <w:iCs/>
          <w:lang w:val="vi-VN"/>
        </w:rPr>
        <w:t>preS</w:t>
      </w:r>
      <w:r w:rsidR="005B5D37" w:rsidRPr="005B5D37">
        <w:rPr>
          <w:bCs/>
          <w:i/>
          <w:iCs/>
          <w:lang w:val="vi-VN"/>
        </w:rPr>
        <w:t>/S</w:t>
      </w:r>
      <w:r w:rsidRPr="001D4C71">
        <w:rPr>
          <w:bCs/>
          <w:lang w:val="vi-VN"/>
        </w:rPr>
        <w:t xml:space="preserve"> gene mutations, with mutations in the </w:t>
      </w:r>
      <w:r w:rsidR="00496AF8" w:rsidRPr="00496AF8">
        <w:rPr>
          <w:bCs/>
          <w:i/>
          <w:iCs/>
          <w:lang w:val="vi-VN"/>
        </w:rPr>
        <w:t>preS2</w:t>
      </w:r>
      <w:r w:rsidRPr="001D4C71">
        <w:rPr>
          <w:bCs/>
          <w:lang w:val="vi-VN"/>
        </w:rPr>
        <w:t xml:space="preserve"> region being the most prevalent.</w:t>
      </w:r>
    </w:p>
    <w:p w14:paraId="2B69E571" w14:textId="73CAE739" w:rsidR="001D4C71" w:rsidRPr="001D4C71" w:rsidRDefault="001D4C71" w:rsidP="00AD5DCE">
      <w:pPr>
        <w:widowControl w:val="0"/>
        <w:spacing w:line="340" w:lineRule="exact"/>
        <w:ind w:firstLine="0"/>
        <w:rPr>
          <w:bCs/>
          <w:lang w:val="vi-VN"/>
        </w:rPr>
      </w:pPr>
      <w:r w:rsidRPr="001D4C71">
        <w:rPr>
          <w:bCs/>
          <w:lang w:val="vi-VN"/>
        </w:rPr>
        <w:t xml:space="preserve">Five major types of </w:t>
      </w:r>
      <w:r w:rsidR="00EF225C">
        <w:rPr>
          <w:bCs/>
          <w:i/>
          <w:iCs/>
          <w:lang w:val="vi-VN"/>
        </w:rPr>
        <w:t>preS</w:t>
      </w:r>
      <w:r w:rsidR="005B5D37" w:rsidRPr="005B5D37">
        <w:rPr>
          <w:bCs/>
          <w:i/>
          <w:iCs/>
          <w:lang w:val="vi-VN"/>
        </w:rPr>
        <w:t>/S</w:t>
      </w:r>
      <w:r w:rsidRPr="001D4C71">
        <w:rPr>
          <w:bCs/>
          <w:lang w:val="vi-VN"/>
        </w:rPr>
        <w:t xml:space="preserve"> gene mutations have been identified, including deletion mutations, point mutations, insertion mutations, point mutations at the C-terminal region, and nonsense mutations. Different </w:t>
      </w:r>
      <w:r w:rsidR="00EF225C">
        <w:rPr>
          <w:bCs/>
          <w:i/>
          <w:iCs/>
          <w:lang w:val="vi-VN"/>
        </w:rPr>
        <w:t>preS</w:t>
      </w:r>
      <w:r w:rsidR="005B5D37" w:rsidRPr="005B5D37">
        <w:rPr>
          <w:bCs/>
          <w:i/>
          <w:iCs/>
          <w:lang w:val="vi-VN"/>
        </w:rPr>
        <w:t>/S</w:t>
      </w:r>
      <w:r w:rsidRPr="001D4C71">
        <w:rPr>
          <w:bCs/>
          <w:lang w:val="vi-VN"/>
        </w:rPr>
        <w:t xml:space="preserve"> mutations activate distinct hepatocarcinogenic mechanisms. These mutations may contribute to the development of HCC through several pathways, including:</w:t>
      </w:r>
    </w:p>
    <w:p w14:paraId="1893F04E" w14:textId="552E3BFB"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Induction of endoplasmic reticulum stress</w:t>
      </w:r>
    </w:p>
    <w:p w14:paraId="7E769070" w14:textId="04F622AE"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Modulation of host immune responses</w:t>
      </w:r>
    </w:p>
    <w:p w14:paraId="25900A0E" w14:textId="32A8A0DF"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Activation of oncogenic signaling pathways and disruption of the cell cycle</w:t>
      </w:r>
    </w:p>
    <w:p w14:paraId="72016568" w14:textId="71BE09FF"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Activation of metabolic pathways</w:t>
      </w:r>
    </w:p>
    <w:p w14:paraId="3A9C39CC" w14:textId="46C4E12B" w:rsidR="001D4C71" w:rsidRPr="001D4C71" w:rsidRDefault="001D4C71" w:rsidP="00AD5DCE">
      <w:pPr>
        <w:widowControl w:val="0"/>
        <w:spacing w:line="340" w:lineRule="exact"/>
        <w:ind w:firstLine="0"/>
        <w:outlineLvl w:val="1"/>
        <w:rPr>
          <w:b/>
          <w:i/>
          <w:iCs/>
          <w:lang w:val="vi-VN"/>
        </w:rPr>
      </w:pPr>
      <w:r w:rsidRPr="001D4C71">
        <w:rPr>
          <w:b/>
          <w:i/>
          <w:iCs/>
          <w:lang w:val="vi-VN"/>
        </w:rPr>
        <w:t xml:space="preserve">1.2.3. </w:t>
      </w:r>
      <w:r w:rsidR="00374D18" w:rsidRPr="00374D18">
        <w:rPr>
          <w:b/>
          <w:i/>
          <w:iCs/>
          <w:lang w:val="vi-VN"/>
        </w:rPr>
        <w:t>SLC10A1</w:t>
      </w:r>
      <w:r w:rsidRPr="001D4C71">
        <w:rPr>
          <w:b/>
          <w:i/>
          <w:iCs/>
          <w:lang w:val="vi-VN"/>
        </w:rPr>
        <w:t xml:space="preserve"> </w:t>
      </w:r>
      <w:r w:rsidR="0049643F" w:rsidRPr="001D4C71">
        <w:rPr>
          <w:b/>
          <w:i/>
          <w:iCs/>
          <w:lang w:val="vi-VN"/>
        </w:rPr>
        <w:t xml:space="preserve">gene variants associated with </w:t>
      </w:r>
      <w:r w:rsidR="00EF225C">
        <w:rPr>
          <w:b/>
          <w:i/>
          <w:iCs/>
          <w:lang w:val="vi-VN"/>
        </w:rPr>
        <w:t>HBV-related</w:t>
      </w:r>
      <w:r w:rsidR="0049643F" w:rsidRPr="001D4C71">
        <w:rPr>
          <w:b/>
          <w:i/>
          <w:iCs/>
          <w:lang w:val="vi-VN"/>
        </w:rPr>
        <w:t xml:space="preserve"> hepatocellular carcinoma</w:t>
      </w:r>
    </w:p>
    <w:p w14:paraId="16621A0F" w14:textId="6321A073" w:rsidR="001D4C71" w:rsidRPr="001D4C71" w:rsidRDefault="001D4C71" w:rsidP="00AD5DCE">
      <w:pPr>
        <w:widowControl w:val="0"/>
        <w:spacing w:line="340" w:lineRule="exact"/>
        <w:ind w:firstLine="720"/>
        <w:rPr>
          <w:bCs/>
          <w:lang w:val="vi-VN"/>
        </w:rPr>
      </w:pPr>
      <w:r w:rsidRPr="001D4C71">
        <w:rPr>
          <w:bCs/>
          <w:lang w:val="vi-VN"/>
        </w:rPr>
        <w:t xml:space="preserve">The </w:t>
      </w:r>
      <w:r w:rsidRPr="001D4C71">
        <w:rPr>
          <w:bCs/>
          <w:i/>
          <w:iCs/>
          <w:lang w:val="vi-VN"/>
        </w:rPr>
        <w:t>SLC10</w:t>
      </w:r>
      <w:r w:rsidRPr="001D4C71">
        <w:rPr>
          <w:bCs/>
          <w:lang w:val="vi-VN"/>
        </w:rPr>
        <w:t xml:space="preserve"> (Solute Carrier Family 10) gene family is located on chromosome 14. Proteins encoded by this family belong to the sodium/bile acid cotransporter group and include two bile acid transporters (</w:t>
      </w:r>
      <w:r w:rsidR="00374D18" w:rsidRPr="00374D18">
        <w:rPr>
          <w:bCs/>
          <w:i/>
          <w:iCs/>
          <w:lang w:val="vi-VN"/>
        </w:rPr>
        <w:t>SLC10A1</w:t>
      </w:r>
      <w:r w:rsidRPr="001D4C71">
        <w:rPr>
          <w:bCs/>
          <w:lang w:val="vi-VN"/>
        </w:rPr>
        <w:t xml:space="preserve"> and </w:t>
      </w:r>
      <w:r w:rsidRPr="001D4C71">
        <w:rPr>
          <w:bCs/>
          <w:i/>
          <w:iCs/>
          <w:lang w:val="vi-VN"/>
        </w:rPr>
        <w:t>SLC10A2</w:t>
      </w:r>
      <w:r w:rsidRPr="001D4C71">
        <w:rPr>
          <w:bCs/>
          <w:lang w:val="vi-VN"/>
        </w:rPr>
        <w:t xml:space="preserve">), one steroid sulfate transporter </w:t>
      </w:r>
      <w:r w:rsidRPr="001D4C71">
        <w:rPr>
          <w:bCs/>
          <w:lang w:val="vi-VN"/>
        </w:rPr>
        <w:lastRenderedPageBreak/>
        <w:t>(</w:t>
      </w:r>
      <w:r w:rsidRPr="001D4C71">
        <w:rPr>
          <w:bCs/>
          <w:i/>
          <w:iCs/>
          <w:lang w:val="vi-VN"/>
        </w:rPr>
        <w:t>SLC10A6</w:t>
      </w:r>
      <w:r w:rsidRPr="001D4C71">
        <w:rPr>
          <w:bCs/>
          <w:lang w:val="vi-VN"/>
        </w:rPr>
        <w:t>), and four additional transporters (</w:t>
      </w:r>
      <w:r w:rsidRPr="001D4C71">
        <w:rPr>
          <w:bCs/>
          <w:i/>
          <w:iCs/>
          <w:lang w:val="vi-VN"/>
        </w:rPr>
        <w:t xml:space="preserve">SLC10A3, SLC10A4, SLC10A5, </w:t>
      </w:r>
      <w:r w:rsidRPr="001D4C71">
        <w:rPr>
          <w:bCs/>
          <w:lang w:val="vi-VN"/>
        </w:rPr>
        <w:t>and</w:t>
      </w:r>
      <w:r w:rsidRPr="001D4C71">
        <w:rPr>
          <w:bCs/>
          <w:i/>
          <w:iCs/>
          <w:lang w:val="vi-VN"/>
        </w:rPr>
        <w:t xml:space="preserve"> SLC10A7</w:t>
      </w:r>
      <w:r w:rsidRPr="001D4C71">
        <w:rPr>
          <w:bCs/>
          <w:lang w:val="vi-VN"/>
        </w:rPr>
        <w:t>).</w:t>
      </w:r>
    </w:p>
    <w:p w14:paraId="4C8E67D9" w14:textId="7654AD72" w:rsidR="001D4C71" w:rsidRPr="001D4C71" w:rsidRDefault="001D4C71" w:rsidP="00496AF8">
      <w:pPr>
        <w:widowControl w:val="0"/>
        <w:spacing w:line="340" w:lineRule="exact"/>
        <w:ind w:firstLine="720"/>
        <w:rPr>
          <w:bCs/>
          <w:lang w:val="vi-VN"/>
        </w:rPr>
      </w:pPr>
      <w:r w:rsidRPr="001D4C71">
        <w:rPr>
          <w:bCs/>
          <w:lang w:val="vi-VN"/>
        </w:rPr>
        <w:t>The</w:t>
      </w:r>
      <w:r w:rsidRPr="001D4C71">
        <w:rPr>
          <w:bCs/>
          <w:i/>
          <w:iCs/>
          <w:lang w:val="vi-VN"/>
        </w:rPr>
        <w:t xml:space="preserve"> </w:t>
      </w:r>
      <w:r w:rsidR="00374D18" w:rsidRPr="00374D18">
        <w:rPr>
          <w:bCs/>
          <w:i/>
          <w:iCs/>
          <w:lang w:val="vi-VN"/>
        </w:rPr>
        <w:t>SLC10A1</w:t>
      </w:r>
      <w:r w:rsidRPr="001D4C71">
        <w:rPr>
          <w:bCs/>
          <w:lang w:val="vi-VN"/>
        </w:rPr>
        <w:t xml:space="preserve"> gene (Solute Carrier Family 10 Member 1) is located at chromosome region 14q24.1–2, spans approximately 23 kb, and consists of five exons. This gene encodes the sodium taurocholate cotransporting polypeptide (NTCP), a transmembrane protein composed of 349 amino acids with 7–9 transmembrane domains. The N-terminus is located extracellularly, while the C-terminus resides in the cytoplasm. NTCP serves as the primary receptor for the uptake of conjugated bile acids from the bloodstream into hepatocytes and plays a critical role in the enterohepatic circulation of bile acids.</w:t>
      </w:r>
    </w:p>
    <w:p w14:paraId="0E32C4BB" w14:textId="17C94A7B" w:rsidR="001D4C71" w:rsidRPr="001D4C71" w:rsidRDefault="001D4C71" w:rsidP="00AD5DCE">
      <w:pPr>
        <w:widowControl w:val="0"/>
        <w:spacing w:line="340" w:lineRule="exact"/>
        <w:ind w:firstLine="0"/>
        <w:rPr>
          <w:bCs/>
          <w:lang w:val="vi-VN"/>
        </w:rPr>
      </w:pPr>
      <w:r w:rsidRPr="001D4C71">
        <w:rPr>
          <w:bCs/>
          <w:lang w:val="vi-VN"/>
        </w:rPr>
        <w:t xml:space="preserve">Currently, </w:t>
      </w:r>
      <w:r w:rsidR="00374D18" w:rsidRPr="00374D18">
        <w:rPr>
          <w:bCs/>
          <w:i/>
          <w:iCs/>
          <w:lang w:val="vi-VN"/>
        </w:rPr>
        <w:t>SLC10A1</w:t>
      </w:r>
      <w:r w:rsidRPr="001D4C71">
        <w:rPr>
          <w:bCs/>
          <w:lang w:val="vi-VN"/>
        </w:rPr>
        <w:t xml:space="preserve"> gene variants have been demonstrated to be associated with the risk of </w:t>
      </w:r>
      <w:r w:rsidR="00EF225C">
        <w:rPr>
          <w:bCs/>
          <w:lang w:val="vi-VN"/>
        </w:rPr>
        <w:t>HCC</w:t>
      </w:r>
      <w:r w:rsidRPr="001D4C71">
        <w:rPr>
          <w:bCs/>
          <w:lang w:val="vi-VN"/>
        </w:rPr>
        <w:t xml:space="preserve"> in patients with chronic HBV infection. Variants of </w:t>
      </w:r>
      <w:r w:rsidR="00374D18" w:rsidRPr="00374D18">
        <w:rPr>
          <w:bCs/>
          <w:i/>
          <w:iCs/>
          <w:lang w:val="vi-VN"/>
        </w:rPr>
        <w:t>SLC10A1</w:t>
      </w:r>
      <w:r w:rsidRPr="001D4C71">
        <w:rPr>
          <w:bCs/>
          <w:lang w:val="vi-VN"/>
        </w:rPr>
        <w:t xml:space="preserve"> may influence HBV entry and hepatocarcinogenesis through multiple mechanisms, including:</w:t>
      </w:r>
    </w:p>
    <w:p w14:paraId="4CB1E5B1" w14:textId="092F77FD"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Alteration of HBV binding and entry into hepatocytes</w:t>
      </w:r>
    </w:p>
    <w:p w14:paraId="5FC59423" w14:textId="57FB57EA"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 xml:space="preserve">Changes in NTCP </w:t>
      </w:r>
      <w:r w:rsidR="002F560D">
        <w:rPr>
          <w:bCs/>
          <w:lang w:val="vi-VN"/>
        </w:rPr>
        <w:t>expres</w:t>
      </w:r>
      <w:r w:rsidRPr="001D4C71">
        <w:rPr>
          <w:bCs/>
          <w:lang w:val="vi-VN"/>
        </w:rPr>
        <w:t>sion and functional activity</w:t>
      </w:r>
    </w:p>
    <w:p w14:paraId="39D0DE94" w14:textId="2D41C45B"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Modulation of host immune responses</w:t>
      </w:r>
    </w:p>
    <w:p w14:paraId="1CF7A1C5" w14:textId="316E1D2E"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Effects on hepatocyte proliferation and apoptosis</w:t>
      </w:r>
    </w:p>
    <w:p w14:paraId="6305B969" w14:textId="1C8547BA" w:rsidR="001D4C71" w:rsidRPr="001D4C71" w:rsidRDefault="001D4C71" w:rsidP="00AD5DCE">
      <w:pPr>
        <w:widowControl w:val="0"/>
        <w:spacing w:line="340" w:lineRule="exact"/>
        <w:ind w:left="360" w:firstLine="0"/>
        <w:rPr>
          <w:bCs/>
          <w:lang w:val="vi-VN"/>
        </w:rPr>
      </w:pPr>
      <w:r w:rsidRPr="00AD5DCE">
        <w:rPr>
          <w:bCs/>
          <w:lang w:val="vi-VN"/>
        </w:rPr>
        <w:t xml:space="preserve">- </w:t>
      </w:r>
      <w:r w:rsidRPr="001D4C71">
        <w:rPr>
          <w:bCs/>
          <w:lang w:val="vi-VN"/>
        </w:rPr>
        <w:t>Interaction with oncogenic signaling pathways</w:t>
      </w:r>
    </w:p>
    <w:p w14:paraId="6DA6EFD9" w14:textId="0FAB71AA" w:rsidR="001D4C71" w:rsidRPr="001D4C71" w:rsidRDefault="001D4C71" w:rsidP="00AD5DCE">
      <w:pPr>
        <w:widowControl w:val="0"/>
        <w:spacing w:line="340" w:lineRule="exact"/>
        <w:ind w:firstLine="360"/>
        <w:rPr>
          <w:bCs/>
          <w:lang w:val="vi-VN"/>
        </w:rPr>
      </w:pPr>
      <w:r w:rsidRPr="001D4C71">
        <w:rPr>
          <w:bCs/>
          <w:lang w:val="vi-VN"/>
        </w:rPr>
        <w:t xml:space="preserve">In recent years, considerable attention has focused on the NTCP S267F variant (a substitution of serine with phenylalanine at codon 267) of the </w:t>
      </w:r>
      <w:r w:rsidR="00374D18" w:rsidRPr="00374D18">
        <w:rPr>
          <w:bCs/>
          <w:i/>
          <w:iCs/>
          <w:lang w:val="vi-VN"/>
        </w:rPr>
        <w:t>SLC10A1</w:t>
      </w:r>
      <w:r w:rsidRPr="001D4C71">
        <w:rPr>
          <w:bCs/>
          <w:lang w:val="vi-VN"/>
        </w:rPr>
        <w:t xml:space="preserve"> gene. This variant is considered Asian-specific, with reported allele frequencies ranging from 3% to over 10%, including 3.1–5% in Koreans, 7.4% in Chinese, 7.5% in Chinese Americans, 9.2% in Vietnamese, and 7.4% in Thai populations, while being nearly absent in European and African populations. In the literature, this variant is also referred to as rs2296651-GA, rs2296651-</w:t>
      </w:r>
      <w:r w:rsidRPr="001D4C71">
        <w:rPr>
          <w:bCs/>
          <w:lang w:val="vi-VN"/>
        </w:rPr>
        <w:lastRenderedPageBreak/>
        <w:t>S267F, or p.Ser267Phe.</w:t>
      </w:r>
    </w:p>
    <w:p w14:paraId="384C3797" w14:textId="168DE2DE" w:rsidR="001D4C71" w:rsidRPr="001D4C71" w:rsidRDefault="001D4C71" w:rsidP="00AD5DCE">
      <w:pPr>
        <w:widowControl w:val="0"/>
        <w:spacing w:line="340" w:lineRule="exact"/>
        <w:ind w:firstLine="360"/>
        <w:rPr>
          <w:bCs/>
          <w:lang w:val="vi-VN"/>
        </w:rPr>
      </w:pPr>
      <w:r w:rsidRPr="001D4C71">
        <w:rPr>
          <w:bCs/>
          <w:lang w:val="vi-VN"/>
        </w:rPr>
        <w:t xml:space="preserve">To date, there is no evidence suggesting differences in the prevalence of the NTCP S267F variant according to age or sex. This variant has been associated with lower HBV viral load, a higher rate of HBsAg seroclearance, and a reduced risk of </w:t>
      </w:r>
      <w:r w:rsidR="00374D18">
        <w:rPr>
          <w:bCs/>
          <w:lang w:val="vi-VN"/>
        </w:rPr>
        <w:t>CHB</w:t>
      </w:r>
      <w:r w:rsidRPr="001D4C71">
        <w:rPr>
          <w:bCs/>
          <w:lang w:val="vi-VN"/>
        </w:rPr>
        <w:t xml:space="preserve">, </w:t>
      </w:r>
      <w:r w:rsidR="00374D18">
        <w:rPr>
          <w:bCs/>
          <w:lang w:val="vi-VN"/>
        </w:rPr>
        <w:t>LC</w:t>
      </w:r>
      <w:r w:rsidRPr="001D4C71">
        <w:rPr>
          <w:bCs/>
          <w:lang w:val="vi-VN"/>
        </w:rPr>
        <w:t xml:space="preserve">, and </w:t>
      </w:r>
      <w:r w:rsidR="00EF225C">
        <w:rPr>
          <w:bCs/>
          <w:lang w:val="vi-VN"/>
        </w:rPr>
        <w:t>HCC</w:t>
      </w:r>
      <w:r w:rsidRPr="001D4C71">
        <w:rPr>
          <w:bCs/>
          <w:lang w:val="vi-VN"/>
        </w:rPr>
        <w:t>. It has also been shown to influence the response to antiviral therapy. Individuals heterozygous for the NTCP S267F variant exhibit higher total bile acid levels compared with those carrying the wild-type NTCP genotype. In patients with chronic HBV infection, heterozygous carriers have lower rates of HBeAg positivity, as well as lower ALT, AST, and HBV-DNA levels compared with wild-type carriers.</w:t>
      </w:r>
    </w:p>
    <w:p w14:paraId="5EFD7B16" w14:textId="5E5C8B29" w:rsidR="001D4C71" w:rsidRPr="001D4C71" w:rsidRDefault="001D4C71" w:rsidP="00AD5DCE">
      <w:pPr>
        <w:widowControl w:val="0"/>
        <w:spacing w:line="340" w:lineRule="exact"/>
        <w:ind w:firstLine="360"/>
        <w:rPr>
          <w:bCs/>
          <w:lang w:val="vi-VN"/>
        </w:rPr>
      </w:pPr>
      <w:r w:rsidRPr="001D4C71">
        <w:rPr>
          <w:bCs/>
          <w:lang w:val="vi-VN"/>
        </w:rPr>
        <w:t>Although existing data suggest an association between the NTCP S267F variant and reduced viral load and HCC risk, the detailed molecular mechanisms and its interactions across different stages of chronic liver disease have not yet been fully elucidated. Therefore, in-depth investigation of the</w:t>
      </w:r>
      <w:r w:rsidR="00EF225C">
        <w:rPr>
          <w:bCs/>
          <w:lang w:val="vi-VN"/>
        </w:rPr>
        <w:t xml:space="preserve"> NTCP S267F variant</w:t>
      </w:r>
      <w:r w:rsidRPr="001D4C71">
        <w:rPr>
          <w:bCs/>
          <w:lang w:val="vi-VN"/>
        </w:rPr>
        <w:t xml:space="preserve"> is urgently needed to accurately determine its prognostic value, thereby opening new avenues for disease management and optimization of treatment strategies in patients with chronic liver diseases.</w:t>
      </w:r>
    </w:p>
    <w:p w14:paraId="7EFFD1B2" w14:textId="22D3DC09" w:rsidR="006C5D44" w:rsidRPr="00AD5DCE" w:rsidRDefault="00F76A65" w:rsidP="00AD5DCE">
      <w:pPr>
        <w:pStyle w:val="Heading1"/>
        <w:keepNext w:val="0"/>
        <w:widowControl w:val="0"/>
        <w:numPr>
          <w:ilvl w:val="0"/>
          <w:numId w:val="0"/>
        </w:numPr>
        <w:rPr>
          <w:spacing w:val="-4"/>
        </w:rPr>
      </w:pPr>
      <w:r w:rsidRPr="00AD5DCE">
        <w:rPr>
          <w:spacing w:val="-4"/>
        </w:rPr>
        <w:t>Chapter 2. OBJECTS AND METHODS</w:t>
      </w:r>
    </w:p>
    <w:p w14:paraId="5F424ACF" w14:textId="4378BD78" w:rsidR="001B2968" w:rsidRPr="00AD5DCE" w:rsidRDefault="00600AEA" w:rsidP="00AD5DCE">
      <w:pPr>
        <w:pStyle w:val="Heading2"/>
        <w:keepNext w:val="0"/>
        <w:widowControl w:val="0"/>
        <w:numPr>
          <w:ilvl w:val="0"/>
          <w:numId w:val="0"/>
        </w:numPr>
        <w:rPr>
          <w:lang w:val="es-ES"/>
        </w:rPr>
      </w:pPr>
      <w:r w:rsidRPr="00AD5DCE">
        <w:rPr>
          <w:lang w:val="es-ES"/>
        </w:rPr>
        <w:t xml:space="preserve">2.1. </w:t>
      </w:r>
      <w:r w:rsidR="00F76A65" w:rsidRPr="00AD5DCE">
        <w:rPr>
          <w:lang w:val="es-ES"/>
        </w:rPr>
        <w:t>Subjects of study</w:t>
      </w:r>
    </w:p>
    <w:p w14:paraId="1CC1F1B0" w14:textId="734F64D5" w:rsidR="006B0E00" w:rsidRPr="00AD5DCE" w:rsidRDefault="006B0E00" w:rsidP="00AD5DCE">
      <w:pPr>
        <w:widowControl w:val="0"/>
        <w:spacing w:line="340" w:lineRule="exact"/>
        <w:ind w:firstLine="0"/>
        <w:rPr>
          <w:b/>
          <w:i/>
          <w:iCs/>
          <w:lang w:val="es-ES"/>
        </w:rPr>
      </w:pPr>
      <w:r w:rsidRPr="00AD5DCE">
        <w:rPr>
          <w:b/>
          <w:i/>
          <w:iCs/>
          <w:lang w:val="es-ES"/>
        </w:rPr>
        <w:t xml:space="preserve">2.1.1. </w:t>
      </w:r>
      <w:r w:rsidR="00F76A65" w:rsidRPr="00AD5DCE">
        <w:rPr>
          <w:b/>
          <w:i/>
          <w:iCs/>
          <w:lang w:val="es-ES"/>
        </w:rPr>
        <w:t>Selection criteria</w:t>
      </w:r>
    </w:p>
    <w:p w14:paraId="26A8B23E" w14:textId="60E386A6" w:rsidR="001D4C71" w:rsidRPr="001D4C71" w:rsidRDefault="001D4C71" w:rsidP="00AD5DCE">
      <w:pPr>
        <w:widowControl w:val="0"/>
        <w:spacing w:line="340" w:lineRule="exact"/>
        <w:ind w:firstLine="720"/>
        <w:rPr>
          <w:bCs/>
          <w:lang w:val="vi-VN"/>
        </w:rPr>
      </w:pPr>
      <w:r w:rsidRPr="00AD5DCE">
        <w:rPr>
          <w:bCs/>
          <w:lang w:val="vi-VN"/>
        </w:rPr>
        <w:t xml:space="preserve">- </w:t>
      </w:r>
      <w:r w:rsidRPr="001D4C71">
        <w:rPr>
          <w:bCs/>
          <w:lang w:val="vi-VN"/>
        </w:rPr>
        <w:t xml:space="preserve">HCC group: Patients with positive HBsAg results and a confirmed diagnosis of </w:t>
      </w:r>
      <w:r w:rsidR="00EF225C">
        <w:rPr>
          <w:bCs/>
          <w:lang w:val="vi-VN"/>
        </w:rPr>
        <w:t>HCC</w:t>
      </w:r>
      <w:r w:rsidRPr="001D4C71">
        <w:rPr>
          <w:bCs/>
          <w:lang w:val="vi-VN"/>
        </w:rPr>
        <w:t xml:space="preserve"> according to the “Guidelines for the Diagnosis and Treatment of Hepatocellular Carcinoma” issued by the Vietnamese Ministry of Health (2020).</w:t>
      </w:r>
    </w:p>
    <w:p w14:paraId="30CAB590" w14:textId="3521B822" w:rsidR="001D4C71" w:rsidRPr="001D4C71" w:rsidRDefault="001D4C71" w:rsidP="00AD5DCE">
      <w:pPr>
        <w:widowControl w:val="0"/>
        <w:spacing w:line="340" w:lineRule="exact"/>
        <w:ind w:firstLine="720"/>
        <w:rPr>
          <w:bCs/>
          <w:lang w:val="vi-VN"/>
        </w:rPr>
      </w:pPr>
      <w:r w:rsidRPr="00AD5DCE">
        <w:rPr>
          <w:bCs/>
          <w:lang w:val="vi-VN"/>
        </w:rPr>
        <w:t xml:space="preserve">- </w:t>
      </w:r>
      <w:r w:rsidRPr="001D4C71">
        <w:rPr>
          <w:bCs/>
          <w:lang w:val="vi-VN"/>
        </w:rPr>
        <w:t xml:space="preserve">Non-cancer disease control group: Patients with positive HBsAg results and a confirmed diagnosis of </w:t>
      </w:r>
      <w:r w:rsidR="00374D18">
        <w:rPr>
          <w:bCs/>
          <w:lang w:val="vi-VN"/>
        </w:rPr>
        <w:t>LC</w:t>
      </w:r>
      <w:r w:rsidRPr="001D4C71">
        <w:rPr>
          <w:bCs/>
          <w:lang w:val="vi-VN"/>
        </w:rPr>
        <w:t xml:space="preserve"> or </w:t>
      </w:r>
      <w:r w:rsidR="00374D18">
        <w:rPr>
          <w:bCs/>
          <w:lang w:val="vi-VN"/>
        </w:rPr>
        <w:t>CHB</w:t>
      </w:r>
      <w:r w:rsidRPr="001D4C71">
        <w:rPr>
          <w:bCs/>
          <w:lang w:val="vi-VN"/>
        </w:rPr>
        <w:t xml:space="preserve"> according to </w:t>
      </w:r>
      <w:r w:rsidRPr="001D4C71">
        <w:rPr>
          <w:bCs/>
          <w:lang w:val="vi-VN"/>
        </w:rPr>
        <w:lastRenderedPageBreak/>
        <w:t>the “WHO Guidelines for the Prevention, Diagnosis, Care and Treatment of Chronic Hepatitis B Infection” (2024).</w:t>
      </w:r>
    </w:p>
    <w:p w14:paraId="6BA42243" w14:textId="2A10CBF4" w:rsidR="001D4C71" w:rsidRPr="001D4C71" w:rsidRDefault="001D4C71" w:rsidP="00AD5DCE">
      <w:pPr>
        <w:widowControl w:val="0"/>
        <w:spacing w:line="340" w:lineRule="exact"/>
        <w:ind w:firstLine="720"/>
        <w:rPr>
          <w:bCs/>
          <w:lang w:val="vi-VN"/>
        </w:rPr>
      </w:pPr>
      <w:r w:rsidRPr="00AD5DCE">
        <w:rPr>
          <w:bCs/>
          <w:lang w:val="vi-VN"/>
        </w:rPr>
        <w:t xml:space="preserve">- </w:t>
      </w:r>
      <w:r w:rsidR="0049643F">
        <w:rPr>
          <w:bCs/>
          <w:lang w:val="vi-VN"/>
        </w:rPr>
        <w:t>C</w:t>
      </w:r>
      <w:r w:rsidRPr="001D4C71">
        <w:rPr>
          <w:bCs/>
          <w:lang w:val="vi-VN"/>
        </w:rPr>
        <w:t>ontrol group: Individuals aged ≥18 years who met blood donation eligibility criteria, were screened according to regulations of the Ministry of Health, had no infectious diseases, and had no acute or chronic diseases involving the cardiovascular, respiratory, neurological, or psychiatric systems.</w:t>
      </w:r>
    </w:p>
    <w:p w14:paraId="12C35316" w14:textId="24D80CAC" w:rsidR="001D4C71" w:rsidRPr="001D4C71" w:rsidRDefault="001D4C71" w:rsidP="00496AF8">
      <w:pPr>
        <w:widowControl w:val="0"/>
        <w:spacing w:line="340" w:lineRule="exact"/>
        <w:ind w:firstLine="0"/>
        <w:rPr>
          <w:bCs/>
          <w:lang w:val="vi-VN"/>
        </w:rPr>
      </w:pPr>
      <w:r w:rsidRPr="001D4C71">
        <w:rPr>
          <w:bCs/>
          <w:lang w:val="vi-VN"/>
        </w:rPr>
        <w:t>Participants who provided informed consent to participate in the study</w:t>
      </w:r>
    </w:p>
    <w:p w14:paraId="3E19B032" w14:textId="61B52E5A" w:rsidR="006B0E00" w:rsidRPr="00AD5DCE" w:rsidRDefault="006B0E00" w:rsidP="00AD5DCE">
      <w:pPr>
        <w:widowControl w:val="0"/>
        <w:spacing w:line="340" w:lineRule="exact"/>
        <w:ind w:firstLine="0"/>
        <w:rPr>
          <w:b/>
          <w:i/>
          <w:iCs/>
          <w:lang w:val="vi-VN"/>
        </w:rPr>
      </w:pPr>
      <w:r w:rsidRPr="00AD5DCE">
        <w:rPr>
          <w:b/>
          <w:i/>
          <w:iCs/>
          <w:lang w:val="vi-VN"/>
        </w:rPr>
        <w:t xml:space="preserve">2.1.2. </w:t>
      </w:r>
      <w:r w:rsidR="00F76A65" w:rsidRPr="00AD5DCE">
        <w:rPr>
          <w:b/>
          <w:i/>
          <w:iCs/>
          <w:lang w:val="vi-VN"/>
        </w:rPr>
        <w:t>Exclusion criteria</w:t>
      </w:r>
    </w:p>
    <w:p w14:paraId="5747F525" w14:textId="2E4AC649" w:rsidR="001D4C71" w:rsidRPr="001D4C71" w:rsidRDefault="001D4C71" w:rsidP="00AD5DCE">
      <w:pPr>
        <w:widowControl w:val="0"/>
        <w:spacing w:line="340" w:lineRule="exact"/>
        <w:ind w:firstLine="720"/>
        <w:rPr>
          <w:bCs/>
          <w:lang w:val="vi-VN"/>
        </w:rPr>
      </w:pPr>
      <w:r w:rsidRPr="00AD5DCE">
        <w:rPr>
          <w:bCs/>
          <w:lang w:val="vi-VN"/>
        </w:rPr>
        <w:t xml:space="preserve">- </w:t>
      </w:r>
      <w:r w:rsidRPr="001D4C71">
        <w:rPr>
          <w:bCs/>
          <w:lang w:val="vi-VN"/>
        </w:rPr>
        <w:t>Common exclusion criteria for disease and disease control groups: Coinfection with HCV or HIV; alcohol abuse; toxic liver injury; secondary malignancies; or prior specific treatment interventions (e.g., antiviral therapy).</w:t>
      </w:r>
    </w:p>
    <w:p w14:paraId="7E9479AF" w14:textId="7A2D580E" w:rsidR="001D4C71" w:rsidRPr="001D4C71" w:rsidRDefault="001D4C71" w:rsidP="00AD5DCE">
      <w:pPr>
        <w:widowControl w:val="0"/>
        <w:spacing w:line="340" w:lineRule="exact"/>
        <w:ind w:firstLine="720"/>
        <w:rPr>
          <w:bCs/>
          <w:lang w:val="vi-VN"/>
        </w:rPr>
      </w:pPr>
      <w:r w:rsidRPr="00AD5DCE">
        <w:rPr>
          <w:bCs/>
          <w:lang w:val="vi-VN"/>
        </w:rPr>
        <w:t xml:space="preserve">- </w:t>
      </w:r>
      <w:r w:rsidR="00E94DA4" w:rsidRPr="00AD5DCE">
        <w:rPr>
          <w:bCs/>
          <w:lang w:val="vi-VN"/>
        </w:rPr>
        <w:t xml:space="preserve">   </w:t>
      </w:r>
      <w:r w:rsidRPr="001D4C71">
        <w:rPr>
          <w:bCs/>
          <w:lang w:val="vi-VN"/>
        </w:rPr>
        <w:t>Refusal to participate or withdrawal from the study.</w:t>
      </w:r>
    </w:p>
    <w:p w14:paraId="2DD4B36A" w14:textId="77777777" w:rsidR="00EF1A45" w:rsidRPr="00EF1A45" w:rsidRDefault="00EF1A45" w:rsidP="00AD5DCE">
      <w:pPr>
        <w:widowControl w:val="0"/>
        <w:spacing w:line="340" w:lineRule="exact"/>
        <w:ind w:firstLine="0"/>
        <w:rPr>
          <w:b/>
          <w:lang w:val="vi-VN"/>
        </w:rPr>
      </w:pPr>
      <w:r w:rsidRPr="00EF1A45">
        <w:rPr>
          <w:b/>
          <w:lang w:val="vi-VN"/>
        </w:rPr>
        <w:t>2.2. Study Methods</w:t>
      </w:r>
    </w:p>
    <w:p w14:paraId="53F3A6B9" w14:textId="67DB3591" w:rsidR="00EF1A45" w:rsidRPr="00EF1A45" w:rsidRDefault="00EF1A45" w:rsidP="00AD5DCE">
      <w:pPr>
        <w:widowControl w:val="0"/>
        <w:spacing w:line="340" w:lineRule="exact"/>
        <w:ind w:firstLine="0"/>
        <w:rPr>
          <w:b/>
          <w:i/>
          <w:iCs/>
          <w:lang w:val="vi-VN"/>
        </w:rPr>
      </w:pPr>
      <w:r w:rsidRPr="00EF1A45">
        <w:rPr>
          <w:b/>
          <w:i/>
          <w:iCs/>
          <w:lang w:val="vi-VN"/>
        </w:rPr>
        <w:t xml:space="preserve">2.2.1. Study </w:t>
      </w:r>
      <w:r w:rsidR="0049643F" w:rsidRPr="00EF1A45">
        <w:rPr>
          <w:b/>
          <w:i/>
          <w:iCs/>
          <w:lang w:val="vi-VN"/>
        </w:rPr>
        <w:t>design</w:t>
      </w:r>
    </w:p>
    <w:p w14:paraId="454FF068" w14:textId="77777777" w:rsidR="00EF1A45" w:rsidRPr="00EF1A45" w:rsidRDefault="00EF1A45" w:rsidP="00AD5DCE">
      <w:pPr>
        <w:widowControl w:val="0"/>
        <w:spacing w:line="340" w:lineRule="exact"/>
        <w:ind w:firstLine="720"/>
        <w:rPr>
          <w:bCs/>
          <w:lang w:val="vi-VN"/>
        </w:rPr>
      </w:pPr>
      <w:r w:rsidRPr="00EF1A45">
        <w:rPr>
          <w:bCs/>
          <w:lang w:val="vi-VN"/>
        </w:rPr>
        <w:t>A cross-sectional descriptive study with comparison groups.</w:t>
      </w:r>
    </w:p>
    <w:p w14:paraId="26C6A085" w14:textId="606F6A20" w:rsidR="00EF1A45" w:rsidRPr="00EF1A45" w:rsidRDefault="00EF1A45" w:rsidP="00AD5DCE">
      <w:pPr>
        <w:widowControl w:val="0"/>
        <w:spacing w:line="340" w:lineRule="exact"/>
        <w:ind w:firstLine="0"/>
        <w:rPr>
          <w:b/>
          <w:i/>
          <w:iCs/>
          <w:lang w:val="vi-VN"/>
        </w:rPr>
      </w:pPr>
      <w:r w:rsidRPr="00EF1A45">
        <w:rPr>
          <w:b/>
          <w:i/>
          <w:iCs/>
          <w:lang w:val="vi-VN"/>
        </w:rPr>
        <w:t xml:space="preserve">2.2.2. Sample </w:t>
      </w:r>
      <w:r w:rsidR="0049643F" w:rsidRPr="00EF1A45">
        <w:rPr>
          <w:b/>
          <w:i/>
          <w:iCs/>
          <w:lang w:val="vi-VN"/>
        </w:rPr>
        <w:t>size and sampling method</w:t>
      </w:r>
    </w:p>
    <w:p w14:paraId="2D08E6E2" w14:textId="77777777" w:rsidR="00EF1A45" w:rsidRPr="00AD5DCE" w:rsidRDefault="00EF1A45" w:rsidP="00AD5DCE">
      <w:pPr>
        <w:widowControl w:val="0"/>
        <w:spacing w:line="340" w:lineRule="exact"/>
        <w:ind w:firstLine="720"/>
        <w:rPr>
          <w:bCs/>
          <w:lang w:val="vi-VN"/>
        </w:rPr>
      </w:pPr>
      <w:r w:rsidRPr="00EF1A45">
        <w:rPr>
          <w:bCs/>
          <w:lang w:val="vi-VN"/>
        </w:rPr>
        <w:t>The sample size was calculated using the formula for estimating a population proportion in descriptive studies (to determine the prevalence of the NTCP S267F variant among HCC patients):</w:t>
      </w:r>
    </w:p>
    <w:p w14:paraId="31219902" w14:textId="77777777" w:rsidR="00EF1A45" w:rsidRPr="00AD5DCE" w:rsidRDefault="00EF1A45" w:rsidP="00AD5DCE">
      <w:pPr>
        <w:widowControl w:val="0"/>
        <w:spacing w:line="340" w:lineRule="exact"/>
        <w:ind w:firstLine="720"/>
        <w:rPr>
          <w:bCs/>
          <w:lang w:val="vi-VN"/>
        </w:rPr>
      </w:pPr>
      <w:bookmarkStart w:id="3" w:name="OLE_LINK1"/>
      <m:oMathPara>
        <m:oMath>
          <m:r>
            <w:rPr>
              <w:rFonts w:ascii="Cambria Math" w:hAnsi="Cambria Math"/>
              <w:lang w:val="vi-VN"/>
            </w:rPr>
            <m:t>n</m:t>
          </m:r>
          <m:r>
            <m:rPr>
              <m:sty m:val="p"/>
            </m:rPr>
            <w:rPr>
              <w:rFonts w:ascii="Cambria Math" w:hAnsi="Cambria Math"/>
              <w:lang w:val="vi-VN"/>
            </w:rPr>
            <m:t>=</m:t>
          </m:r>
          <m:sSubSup>
            <m:sSubSupPr>
              <m:ctrlPr>
                <w:rPr>
                  <w:rFonts w:ascii="Cambria Math" w:hAnsi="Cambria Math"/>
                  <w:bCs/>
                  <w:lang w:val="vi-VN"/>
                </w:rPr>
              </m:ctrlPr>
            </m:sSubSupPr>
            <m:e>
              <m:r>
                <w:rPr>
                  <w:rFonts w:ascii="Cambria Math" w:hAnsi="Cambria Math"/>
                  <w:lang w:val="vi-VN"/>
                </w:rPr>
                <m:t>Z</m:t>
              </m:r>
            </m:e>
            <m:sub>
              <m:r>
                <m:rPr>
                  <m:sty m:val="p"/>
                </m:rPr>
                <w:rPr>
                  <w:rFonts w:ascii="Cambria Math" w:hAnsi="Cambria Math"/>
                  <w:lang w:val="vi-VN"/>
                </w:rPr>
                <m:t>1-</m:t>
              </m:r>
              <m:r>
                <w:rPr>
                  <w:rFonts w:ascii="Cambria Math" w:hAnsi="Cambria Math"/>
                  <w:lang w:val="vi-VN"/>
                </w:rPr>
                <m:t>α</m:t>
              </m:r>
              <m:r>
                <m:rPr>
                  <m:sty m:val="p"/>
                </m:rPr>
                <w:rPr>
                  <w:rFonts w:ascii="Cambria Math" w:hAnsi="Cambria Math"/>
                  <w:lang w:val="vi-VN"/>
                </w:rPr>
                <m:t>/2</m:t>
              </m:r>
            </m:sub>
            <m:sup>
              <m:r>
                <m:rPr>
                  <m:sty m:val="p"/>
                </m:rPr>
                <w:rPr>
                  <w:rFonts w:ascii="Cambria Math" w:hAnsi="Cambria Math"/>
                  <w:lang w:val="vi-VN"/>
                </w:rPr>
                <m:t>2</m:t>
              </m:r>
            </m:sup>
          </m:sSubSup>
          <m:r>
            <m:rPr>
              <m:sty m:val="p"/>
            </m:rPr>
            <w:rPr>
              <w:rFonts w:ascii="Cambria Math" w:hAnsi="Cambria Math"/>
              <w:lang w:val="vi-VN"/>
            </w:rPr>
            <m:t>x</m:t>
          </m:r>
          <m:f>
            <m:fPr>
              <m:ctrlPr>
                <w:rPr>
                  <w:rFonts w:ascii="Cambria Math" w:hAnsi="Cambria Math"/>
                  <w:bCs/>
                  <w:lang w:val="vi-VN"/>
                </w:rPr>
              </m:ctrlPr>
            </m:fPr>
            <m:num>
              <m:r>
                <m:rPr>
                  <m:sty m:val="p"/>
                </m:rPr>
                <w:rPr>
                  <w:rFonts w:ascii="Cambria Math" w:hAnsi="Cambria Math"/>
                  <w:lang w:val="vi-VN"/>
                </w:rPr>
                <m:t xml:space="preserve">  p(1-</m:t>
              </m:r>
              <m:r>
                <w:rPr>
                  <w:rFonts w:ascii="Cambria Math" w:hAnsi="Cambria Math"/>
                  <w:lang w:val="vi-VN"/>
                </w:rPr>
                <m:t>p</m:t>
              </m:r>
              <m:r>
                <m:rPr>
                  <m:sty m:val="p"/>
                </m:rPr>
                <w:rPr>
                  <w:rFonts w:ascii="Cambria Math" w:hAnsi="Cambria Math"/>
                  <w:lang w:val="vi-VN"/>
                </w:rPr>
                <m:t>)</m:t>
              </m:r>
            </m:num>
            <m:den>
              <m:sSup>
                <m:sSupPr>
                  <m:ctrlPr>
                    <w:rPr>
                      <w:rFonts w:ascii="Cambria Math" w:hAnsi="Cambria Math"/>
                      <w:bCs/>
                      <w:lang w:val="vi-VN"/>
                    </w:rPr>
                  </m:ctrlPr>
                </m:sSupPr>
                <m:e>
                  <m:r>
                    <m:rPr>
                      <m:sty m:val="p"/>
                    </m:rPr>
                    <w:rPr>
                      <w:rFonts w:ascii="Cambria Math" w:hAnsi="Cambria Math"/>
                      <w:lang w:val="vi-VN"/>
                    </w:rPr>
                    <m:t>d</m:t>
                  </m:r>
                </m:e>
                <m:sup>
                  <m:r>
                    <m:rPr>
                      <m:sty m:val="p"/>
                    </m:rPr>
                    <w:rPr>
                      <w:rFonts w:ascii="Cambria Math" w:hAnsi="Cambria Math"/>
                      <w:lang w:val="vi-VN"/>
                    </w:rPr>
                    <m:t>2</m:t>
                  </m:r>
                </m:sup>
              </m:sSup>
            </m:den>
          </m:f>
          <m:r>
            <m:rPr>
              <m:sty m:val="p"/>
            </m:rPr>
            <w:rPr>
              <w:rFonts w:ascii="Cambria Math" w:hAnsi="Cambria Math"/>
              <w:lang w:val="vi-VN"/>
            </w:rPr>
            <m:t xml:space="preserve">x </m:t>
          </m:r>
          <m:r>
            <w:rPr>
              <w:rFonts w:ascii="Cambria Math" w:hAnsi="Cambria Math"/>
              <w:lang w:val="vi-VN"/>
            </w:rPr>
            <m:t>DE</m:t>
          </m:r>
        </m:oMath>
      </m:oMathPara>
    </w:p>
    <w:bookmarkEnd w:id="3"/>
    <w:p w14:paraId="7AC1CC15" w14:textId="5C50C4DF" w:rsidR="00EF1A45" w:rsidRPr="00EF1A45" w:rsidRDefault="00EF1A45" w:rsidP="00AD5DCE">
      <w:pPr>
        <w:widowControl w:val="0"/>
        <w:spacing w:line="340" w:lineRule="exact"/>
        <w:ind w:firstLine="720"/>
        <w:rPr>
          <w:bCs/>
          <w:lang w:val="vi-VN"/>
        </w:rPr>
      </w:pPr>
      <w:r w:rsidRPr="00AD5DCE">
        <w:rPr>
          <w:bCs/>
          <w:lang w:val="vi-VN"/>
        </w:rPr>
        <w:t>In which</w:t>
      </w:r>
      <w:r w:rsidRPr="00EF1A45">
        <w:rPr>
          <w:bCs/>
          <w:lang w:val="vi-VN"/>
        </w:rPr>
        <w:t>:</w:t>
      </w:r>
    </w:p>
    <w:p w14:paraId="77BF2BB9" w14:textId="77777777" w:rsidR="00EF1A45" w:rsidRPr="00EF1A45" w:rsidRDefault="00EF1A45" w:rsidP="00AD5DCE">
      <w:pPr>
        <w:widowControl w:val="0"/>
        <w:spacing w:line="340" w:lineRule="exact"/>
        <w:ind w:firstLine="720"/>
        <w:rPr>
          <w:bCs/>
          <w:lang w:val="vi-VN"/>
        </w:rPr>
      </w:pPr>
      <w:r w:rsidRPr="00EF1A45">
        <w:rPr>
          <w:bCs/>
          <w:lang w:val="vi-VN"/>
        </w:rPr>
        <w:t>n is the minimum required sample size;</w:t>
      </w:r>
    </w:p>
    <w:p w14:paraId="7BFD6033" w14:textId="77777777" w:rsidR="00EF1A45" w:rsidRPr="00EF1A45" w:rsidRDefault="00EF1A45" w:rsidP="00AD5DCE">
      <w:pPr>
        <w:widowControl w:val="0"/>
        <w:spacing w:line="340" w:lineRule="exact"/>
        <w:ind w:firstLine="720"/>
        <w:rPr>
          <w:bCs/>
          <w:lang w:val="vi-VN"/>
        </w:rPr>
      </w:pPr>
      <w:r w:rsidRPr="00EF1A45">
        <w:rPr>
          <w:bCs/>
          <w:lang w:val="vi-VN"/>
        </w:rPr>
        <w:t>d is the allowable absolute error (set at 0.05);</w:t>
      </w:r>
    </w:p>
    <w:p w14:paraId="42607871" w14:textId="77777777" w:rsidR="00EF1A45" w:rsidRPr="00EF1A45" w:rsidRDefault="000E4055" w:rsidP="00AD5DCE">
      <w:pPr>
        <w:widowControl w:val="0"/>
        <w:spacing w:line="340" w:lineRule="exact"/>
        <w:ind w:firstLine="720"/>
        <w:rPr>
          <w:bCs/>
          <w:lang w:val="vi-VN"/>
        </w:rPr>
      </w:pPr>
      <m:oMath>
        <m:sSub>
          <m:sSubPr>
            <m:ctrlPr>
              <w:rPr>
                <w:rFonts w:ascii="Cambria Math" w:hAnsi="Cambria Math"/>
                <w:bCs/>
                <w:lang w:val="vi-VN"/>
              </w:rPr>
            </m:ctrlPr>
          </m:sSubPr>
          <m:e>
            <m:r>
              <w:rPr>
                <w:rFonts w:ascii="Cambria Math" w:hAnsi="Cambria Math"/>
                <w:lang w:val="vi-VN"/>
              </w:rPr>
              <m:t>Z</m:t>
            </m:r>
          </m:e>
          <m:sub>
            <m:r>
              <m:rPr>
                <m:sty m:val="p"/>
              </m:rPr>
              <w:rPr>
                <w:rFonts w:ascii="Cambria Math" w:hAnsi="Cambria Math"/>
                <w:lang w:val="vi-VN"/>
              </w:rPr>
              <m:t>1-</m:t>
            </m:r>
            <m:r>
              <w:rPr>
                <w:rFonts w:ascii="Cambria Math" w:hAnsi="Cambria Math"/>
                <w:lang w:val="vi-VN"/>
              </w:rPr>
              <m:t>α</m:t>
            </m:r>
            <m:r>
              <m:rPr>
                <m:sty m:val="p"/>
              </m:rPr>
              <w:rPr>
                <w:rFonts w:ascii="Cambria Math" w:hAnsi="Cambria Math"/>
                <w:lang w:val="vi-VN"/>
              </w:rPr>
              <m:t>/2</m:t>
            </m:r>
          </m:sub>
        </m:sSub>
      </m:oMath>
      <w:r w:rsidR="00EF1A45" w:rsidRPr="00EF1A45">
        <w:rPr>
          <w:bCs/>
          <w:lang w:val="vi-VN"/>
        </w:rPr>
        <w:t xml:space="preserve">is the standard normal value corresponding to a 95% confidence level (α = 0.05; </w:t>
      </w:r>
      <m:oMath>
        <m:sSub>
          <m:sSubPr>
            <m:ctrlPr>
              <w:rPr>
                <w:rFonts w:ascii="Cambria Math" w:hAnsi="Cambria Math"/>
                <w:bCs/>
                <w:lang w:val="vi-VN"/>
              </w:rPr>
            </m:ctrlPr>
          </m:sSubPr>
          <m:e>
            <m:r>
              <w:rPr>
                <w:rFonts w:ascii="Cambria Math" w:hAnsi="Cambria Math"/>
                <w:lang w:val="vi-VN"/>
              </w:rPr>
              <m:t>Z</m:t>
            </m:r>
          </m:e>
          <m:sub>
            <m:r>
              <m:rPr>
                <m:sty m:val="p"/>
              </m:rPr>
              <w:rPr>
                <w:rFonts w:ascii="Cambria Math" w:hAnsi="Cambria Math"/>
                <w:lang w:val="vi-VN"/>
              </w:rPr>
              <m:t>0.975</m:t>
            </m:r>
          </m:sub>
        </m:sSub>
        <m:r>
          <m:rPr>
            <m:sty m:val="p"/>
          </m:rPr>
          <w:rPr>
            <w:rFonts w:ascii="Cambria Math" w:hAnsi="Cambria Math"/>
            <w:lang w:val="vi-VN"/>
          </w:rPr>
          <m:t>=1.96</m:t>
        </m:r>
      </m:oMath>
      <w:r w:rsidR="00EF1A45" w:rsidRPr="00EF1A45">
        <w:rPr>
          <w:bCs/>
          <w:lang w:val="vi-VN"/>
        </w:rPr>
        <w:t>);</w:t>
      </w:r>
    </w:p>
    <w:p w14:paraId="09F960E5" w14:textId="77777777" w:rsidR="00EF1A45" w:rsidRPr="00EF1A45" w:rsidRDefault="00EF1A45" w:rsidP="00AD5DCE">
      <w:pPr>
        <w:widowControl w:val="0"/>
        <w:spacing w:line="340" w:lineRule="exact"/>
        <w:ind w:firstLine="720"/>
        <w:rPr>
          <w:bCs/>
          <w:lang w:val="vi-VN"/>
        </w:rPr>
      </w:pPr>
      <w:r w:rsidRPr="00EF1A45">
        <w:rPr>
          <w:bCs/>
          <w:lang w:val="vi-VN"/>
        </w:rPr>
        <w:t>DE is the design effect (set at 2);</w:t>
      </w:r>
    </w:p>
    <w:p w14:paraId="3F06DC80" w14:textId="77777777" w:rsidR="00EF1A45" w:rsidRPr="00EF1A45" w:rsidRDefault="00EF1A45" w:rsidP="00AD5DCE">
      <w:pPr>
        <w:widowControl w:val="0"/>
        <w:spacing w:line="340" w:lineRule="exact"/>
        <w:ind w:firstLine="720"/>
        <w:rPr>
          <w:bCs/>
          <w:lang w:val="vi-VN"/>
        </w:rPr>
      </w:pPr>
      <w:r w:rsidRPr="00EF1A45">
        <w:rPr>
          <w:bCs/>
          <w:lang w:val="vi-VN"/>
        </w:rPr>
        <w:lastRenderedPageBreak/>
        <w:t>p is the estimated prevalence of the NTCP S267F variant among HCC patients (6.3%, p = 0.063), based on the study by Mai Thanh Binh et al.</w:t>
      </w:r>
    </w:p>
    <w:p w14:paraId="0545F3E5" w14:textId="77777777" w:rsidR="00EF1A45" w:rsidRPr="00EF1A45" w:rsidRDefault="00EF1A45" w:rsidP="00AD5DCE">
      <w:pPr>
        <w:widowControl w:val="0"/>
        <w:spacing w:line="340" w:lineRule="exact"/>
        <w:ind w:firstLine="720"/>
        <w:rPr>
          <w:bCs/>
          <w:lang w:val="vi-VN"/>
        </w:rPr>
      </w:pPr>
      <w:r w:rsidRPr="00EF1A45">
        <w:rPr>
          <w:bCs/>
          <w:lang w:val="vi-VN"/>
        </w:rPr>
        <w:t>Using this formula, the minimum required sample size was calculated to be n = 182.</w:t>
      </w:r>
    </w:p>
    <w:p w14:paraId="67AA400D" w14:textId="77777777" w:rsidR="00EF1A45" w:rsidRPr="00EF1A45" w:rsidRDefault="00EF1A45" w:rsidP="00AD5DCE">
      <w:pPr>
        <w:widowControl w:val="0"/>
        <w:spacing w:line="340" w:lineRule="exact"/>
        <w:ind w:firstLine="720"/>
        <w:rPr>
          <w:bCs/>
          <w:lang w:val="vi-VN"/>
        </w:rPr>
      </w:pPr>
      <w:r w:rsidRPr="00EF1A45">
        <w:rPr>
          <w:bCs/>
          <w:lang w:val="vi-VN"/>
        </w:rPr>
        <w:t>Purposive sampling was applied for the HCC group and disease control group. Convenience sampling was used for the blood donor control group.</w:t>
      </w:r>
    </w:p>
    <w:p w14:paraId="096824D8" w14:textId="07D3A8A0" w:rsidR="00EF1A45" w:rsidRPr="00EF1A45" w:rsidRDefault="00EF1A45" w:rsidP="00AD5DCE">
      <w:pPr>
        <w:widowControl w:val="0"/>
        <w:spacing w:line="340" w:lineRule="exact"/>
        <w:ind w:firstLine="720"/>
        <w:rPr>
          <w:bCs/>
          <w:lang w:val="vi-VN"/>
        </w:rPr>
      </w:pPr>
      <w:r w:rsidRPr="00EF1A45">
        <w:rPr>
          <w:bCs/>
          <w:lang w:val="vi-VN"/>
        </w:rPr>
        <w:t xml:space="preserve">The actual study population included 231 HBsAg-positive HCC patients, 198 patients in the disease control group (96 HBsAg-positive </w:t>
      </w:r>
      <w:r w:rsidR="0049643F">
        <w:rPr>
          <w:bCs/>
          <w:lang w:val="vi-VN"/>
        </w:rPr>
        <w:t>LC</w:t>
      </w:r>
      <w:r w:rsidRPr="00EF1A45">
        <w:rPr>
          <w:bCs/>
          <w:lang w:val="vi-VN"/>
        </w:rPr>
        <w:t xml:space="preserve"> patients and 102 </w:t>
      </w:r>
      <w:r w:rsidR="00374D18">
        <w:rPr>
          <w:bCs/>
          <w:lang w:val="vi-VN"/>
        </w:rPr>
        <w:t>CHB</w:t>
      </w:r>
      <w:r w:rsidRPr="00EF1A45">
        <w:rPr>
          <w:bCs/>
          <w:lang w:val="vi-VN"/>
        </w:rPr>
        <w:t xml:space="preserve"> patients), and 314 blood donors.</w:t>
      </w:r>
    </w:p>
    <w:p w14:paraId="7B5A1814" w14:textId="6E110FB5" w:rsidR="00EF1A45" w:rsidRPr="00EF1A45" w:rsidRDefault="00EF1A45" w:rsidP="00AD5DCE">
      <w:pPr>
        <w:widowControl w:val="0"/>
        <w:spacing w:line="340" w:lineRule="exact"/>
        <w:ind w:firstLine="0"/>
        <w:rPr>
          <w:b/>
          <w:i/>
          <w:iCs/>
          <w:lang w:val="vi-VN"/>
        </w:rPr>
      </w:pPr>
      <w:r w:rsidRPr="00EF1A45">
        <w:rPr>
          <w:b/>
          <w:i/>
          <w:iCs/>
          <w:lang w:val="vi-VN"/>
        </w:rPr>
        <w:t xml:space="preserve">2.2.3. Study </w:t>
      </w:r>
      <w:r w:rsidR="0049643F" w:rsidRPr="00EF1A45">
        <w:rPr>
          <w:b/>
          <w:i/>
          <w:iCs/>
          <w:lang w:val="vi-VN"/>
        </w:rPr>
        <w:t>sites and duration</w:t>
      </w:r>
    </w:p>
    <w:p w14:paraId="4A5ABE83" w14:textId="77777777" w:rsidR="00EF1A45" w:rsidRPr="00EF1A45" w:rsidRDefault="00EF1A45" w:rsidP="00AD5DCE">
      <w:pPr>
        <w:widowControl w:val="0"/>
        <w:spacing w:line="340" w:lineRule="exact"/>
        <w:ind w:firstLine="720"/>
        <w:rPr>
          <w:bCs/>
          <w:lang w:val="vi-VN"/>
        </w:rPr>
      </w:pPr>
      <w:r w:rsidRPr="00EF1A45">
        <w:rPr>
          <w:bCs/>
          <w:lang w:val="vi-VN"/>
        </w:rPr>
        <w:t>Study sites: Military Central Hospital 108 and Military Hospital 103.</w:t>
      </w:r>
    </w:p>
    <w:p w14:paraId="164B7C30" w14:textId="77777777" w:rsidR="00EF1A45" w:rsidRPr="00EF1A45" w:rsidRDefault="00EF1A45" w:rsidP="00AD5DCE">
      <w:pPr>
        <w:widowControl w:val="0"/>
        <w:spacing w:line="340" w:lineRule="exact"/>
        <w:ind w:firstLine="720"/>
        <w:rPr>
          <w:bCs/>
          <w:lang w:val="vi-VN"/>
        </w:rPr>
      </w:pPr>
      <w:r w:rsidRPr="00EF1A45">
        <w:rPr>
          <w:bCs/>
          <w:lang w:val="vi-VN"/>
        </w:rPr>
        <w:t>Molecular biology analyses: Conducted at the Vietnam–Germany Center for Medical Research (VG-CARE), Military Central Hospital 108.</w:t>
      </w:r>
    </w:p>
    <w:p w14:paraId="68E7F3AF" w14:textId="77777777" w:rsidR="00EF1A45" w:rsidRPr="00EF1A45" w:rsidRDefault="00EF1A45" w:rsidP="00AD5DCE">
      <w:pPr>
        <w:widowControl w:val="0"/>
        <w:spacing w:line="340" w:lineRule="exact"/>
        <w:ind w:firstLine="720"/>
        <w:rPr>
          <w:bCs/>
          <w:lang w:val="vi-VN"/>
        </w:rPr>
      </w:pPr>
      <w:r w:rsidRPr="00EF1A45">
        <w:rPr>
          <w:bCs/>
          <w:lang w:val="vi-VN"/>
        </w:rPr>
        <w:t>Study period: From December 2021 to February 2025.</w:t>
      </w:r>
    </w:p>
    <w:p w14:paraId="257C6DE6" w14:textId="3CEFA826" w:rsidR="00EF1A45" w:rsidRPr="00EF1A45" w:rsidRDefault="00EF1A45" w:rsidP="00AD5DCE">
      <w:pPr>
        <w:widowControl w:val="0"/>
        <w:spacing w:line="340" w:lineRule="exact"/>
        <w:ind w:firstLine="0"/>
        <w:rPr>
          <w:b/>
          <w:i/>
          <w:iCs/>
          <w:lang w:val="vi-VN"/>
        </w:rPr>
      </w:pPr>
      <w:r w:rsidRPr="00EF1A45">
        <w:rPr>
          <w:b/>
          <w:i/>
          <w:iCs/>
          <w:lang w:val="vi-VN"/>
        </w:rPr>
        <w:t xml:space="preserve">2.2.4. Equipment </w:t>
      </w:r>
      <w:r w:rsidR="0049643F" w:rsidRPr="00EF1A45">
        <w:rPr>
          <w:b/>
          <w:i/>
          <w:iCs/>
          <w:lang w:val="vi-VN"/>
        </w:rPr>
        <w:t>and reagents</w:t>
      </w:r>
    </w:p>
    <w:p w14:paraId="3190C48E" w14:textId="77777777" w:rsidR="00EF1A45" w:rsidRPr="00EF1A45" w:rsidRDefault="00EF1A45" w:rsidP="00AD5DCE">
      <w:pPr>
        <w:widowControl w:val="0"/>
        <w:spacing w:line="340" w:lineRule="exact"/>
        <w:ind w:firstLine="720"/>
        <w:rPr>
          <w:bCs/>
          <w:lang w:val="vi-VN"/>
        </w:rPr>
      </w:pPr>
      <w:r w:rsidRPr="00EF1A45">
        <w:rPr>
          <w:bCs/>
          <w:lang w:val="vi-VN"/>
        </w:rPr>
        <w:t>Molecular biology equipment and reagents, including those used for gene sequencing and quantitative HBV-DNA assays, were located at the Vietnam–Germany Center for Medical Research, Military Central Hospital 108. Hematological and biochemical analyses were performed using equipment and reagents available at the clinical laboratories of Military Central Hospital 108 and Military Hospital 103.</w:t>
      </w:r>
    </w:p>
    <w:p w14:paraId="0F1D4465" w14:textId="787BA07E" w:rsidR="00EF1A45" w:rsidRPr="00EF1A45" w:rsidRDefault="00EF1A45" w:rsidP="00AD5DCE">
      <w:pPr>
        <w:widowControl w:val="0"/>
        <w:spacing w:line="340" w:lineRule="exact"/>
        <w:ind w:firstLine="0"/>
        <w:rPr>
          <w:b/>
          <w:lang w:val="vi-VN"/>
        </w:rPr>
      </w:pPr>
      <w:r w:rsidRPr="00EF1A45">
        <w:rPr>
          <w:b/>
          <w:lang w:val="vi-VN"/>
        </w:rPr>
        <w:t xml:space="preserve">2.3. Study </w:t>
      </w:r>
      <w:r w:rsidR="0049643F" w:rsidRPr="00EF1A45">
        <w:rPr>
          <w:b/>
          <w:lang w:val="vi-VN"/>
        </w:rPr>
        <w:t>procedures</w:t>
      </w:r>
    </w:p>
    <w:p w14:paraId="70D5812C" w14:textId="77777777" w:rsidR="00EF1A45" w:rsidRPr="00EF1A45" w:rsidRDefault="00EF1A45" w:rsidP="00AD5DCE">
      <w:pPr>
        <w:widowControl w:val="0"/>
        <w:spacing w:line="340" w:lineRule="exact"/>
        <w:ind w:firstLine="720"/>
        <w:rPr>
          <w:bCs/>
          <w:lang w:val="vi-VN"/>
        </w:rPr>
      </w:pPr>
      <w:r w:rsidRPr="00EF1A45">
        <w:rPr>
          <w:bCs/>
          <w:lang w:val="vi-VN"/>
        </w:rPr>
        <w:t>The study was conducted according to the following steps:</w:t>
      </w:r>
    </w:p>
    <w:p w14:paraId="49C974D0" w14:textId="77777777" w:rsidR="00EF1A45" w:rsidRPr="00EF1A45" w:rsidRDefault="00EF1A45" w:rsidP="00AD5DCE">
      <w:pPr>
        <w:widowControl w:val="0"/>
        <w:spacing w:line="340" w:lineRule="exact"/>
        <w:ind w:firstLine="720"/>
        <w:rPr>
          <w:bCs/>
          <w:lang w:val="vi-VN"/>
        </w:rPr>
      </w:pPr>
      <w:r w:rsidRPr="00EF1A45">
        <w:rPr>
          <w:bCs/>
          <w:lang w:val="vi-VN"/>
        </w:rPr>
        <w:lastRenderedPageBreak/>
        <w:t>Recruitment of study participants</w:t>
      </w:r>
    </w:p>
    <w:p w14:paraId="509324E8" w14:textId="77777777" w:rsidR="00EF1A45" w:rsidRPr="00EF1A45" w:rsidRDefault="00EF1A45" w:rsidP="00AD5DCE">
      <w:pPr>
        <w:widowControl w:val="0"/>
        <w:spacing w:line="340" w:lineRule="exact"/>
        <w:ind w:firstLine="720"/>
        <w:rPr>
          <w:bCs/>
          <w:lang w:val="vi-VN"/>
        </w:rPr>
      </w:pPr>
      <w:r w:rsidRPr="00EF1A45">
        <w:rPr>
          <w:bCs/>
          <w:lang w:val="vi-VN"/>
        </w:rPr>
        <w:t>Collection of blood samples for molecular analyses</w:t>
      </w:r>
    </w:p>
    <w:p w14:paraId="37FBADDA" w14:textId="77777777" w:rsidR="00EF1A45" w:rsidRPr="00EF1A45" w:rsidRDefault="00EF1A45" w:rsidP="00AD5DCE">
      <w:pPr>
        <w:widowControl w:val="0"/>
        <w:spacing w:line="340" w:lineRule="exact"/>
        <w:ind w:firstLine="720"/>
        <w:rPr>
          <w:bCs/>
          <w:lang w:val="vi-VN"/>
        </w:rPr>
      </w:pPr>
      <w:r w:rsidRPr="00EF1A45">
        <w:rPr>
          <w:bCs/>
          <w:lang w:val="vi-VN"/>
        </w:rPr>
        <w:t>Extraction of DNA from study samples</w:t>
      </w:r>
    </w:p>
    <w:p w14:paraId="4D49484E" w14:textId="77777777" w:rsidR="00EF1A45" w:rsidRPr="00EF1A45" w:rsidRDefault="00EF1A45" w:rsidP="00AD5DCE">
      <w:pPr>
        <w:widowControl w:val="0"/>
        <w:spacing w:line="340" w:lineRule="exact"/>
        <w:ind w:firstLine="720"/>
        <w:rPr>
          <w:bCs/>
          <w:lang w:val="vi-VN"/>
        </w:rPr>
      </w:pPr>
      <w:r w:rsidRPr="00EF1A45">
        <w:rPr>
          <w:bCs/>
          <w:lang w:val="vi-VN"/>
        </w:rPr>
        <w:t>Quantification of HBV-DNA using real-time PCR</w:t>
      </w:r>
    </w:p>
    <w:p w14:paraId="0F67B673" w14:textId="5578F4BE" w:rsidR="00EF1A45" w:rsidRPr="00EF1A45" w:rsidRDefault="00EF1A45" w:rsidP="00AD5DCE">
      <w:pPr>
        <w:widowControl w:val="0"/>
        <w:spacing w:line="340" w:lineRule="exact"/>
        <w:ind w:firstLine="720"/>
        <w:rPr>
          <w:bCs/>
          <w:lang w:val="vi-VN"/>
        </w:rPr>
      </w:pPr>
      <w:r w:rsidRPr="00EF1A45">
        <w:rPr>
          <w:bCs/>
          <w:lang w:val="vi-VN"/>
        </w:rPr>
        <w:t xml:space="preserve">Amplification of the HBV </w:t>
      </w:r>
      <w:r w:rsidR="00EF225C">
        <w:rPr>
          <w:bCs/>
          <w:i/>
          <w:iCs/>
          <w:lang w:val="vi-VN"/>
        </w:rPr>
        <w:t>preS</w:t>
      </w:r>
      <w:r w:rsidR="005B5D37" w:rsidRPr="005B5D37">
        <w:rPr>
          <w:bCs/>
          <w:i/>
          <w:iCs/>
          <w:lang w:val="vi-VN"/>
        </w:rPr>
        <w:t>/S</w:t>
      </w:r>
      <w:r w:rsidRPr="00EF1A45">
        <w:rPr>
          <w:bCs/>
          <w:lang w:val="vi-VN"/>
        </w:rPr>
        <w:t xml:space="preserve"> gene using nested PCR</w:t>
      </w:r>
    </w:p>
    <w:p w14:paraId="18CF12A7" w14:textId="13B3FD34" w:rsidR="00EF1A45" w:rsidRPr="00EF1A45" w:rsidRDefault="00EF1A45" w:rsidP="00AD5DCE">
      <w:pPr>
        <w:widowControl w:val="0"/>
        <w:spacing w:line="340" w:lineRule="exact"/>
        <w:ind w:firstLine="720"/>
        <w:rPr>
          <w:bCs/>
          <w:lang w:val="vi-VN"/>
        </w:rPr>
      </w:pPr>
      <w:r w:rsidRPr="00EF1A45">
        <w:rPr>
          <w:bCs/>
          <w:lang w:val="vi-VN"/>
        </w:rPr>
        <w:t xml:space="preserve">Sequencing of the HBV </w:t>
      </w:r>
      <w:r w:rsidR="00EF225C">
        <w:rPr>
          <w:bCs/>
          <w:i/>
          <w:iCs/>
          <w:lang w:val="vi-VN"/>
        </w:rPr>
        <w:t>preS</w:t>
      </w:r>
      <w:r w:rsidR="005B5D37" w:rsidRPr="005B5D37">
        <w:rPr>
          <w:bCs/>
          <w:i/>
          <w:iCs/>
          <w:lang w:val="vi-VN"/>
        </w:rPr>
        <w:t>/S</w:t>
      </w:r>
      <w:r w:rsidRPr="00EF1A45">
        <w:rPr>
          <w:bCs/>
          <w:lang w:val="vi-VN"/>
        </w:rPr>
        <w:t xml:space="preserve"> gene</w:t>
      </w:r>
    </w:p>
    <w:p w14:paraId="5B0B3EF9" w14:textId="55511770" w:rsidR="00EF1A45" w:rsidRPr="00EF1A45" w:rsidRDefault="00EF1A45" w:rsidP="00AD5DCE">
      <w:pPr>
        <w:widowControl w:val="0"/>
        <w:spacing w:line="340" w:lineRule="exact"/>
        <w:ind w:firstLine="720"/>
        <w:rPr>
          <w:bCs/>
          <w:lang w:val="vi-VN"/>
        </w:rPr>
      </w:pPr>
      <w:r w:rsidRPr="00EF1A45">
        <w:rPr>
          <w:bCs/>
          <w:lang w:val="vi-VN"/>
        </w:rPr>
        <w:t xml:space="preserve">Sequencing of the </w:t>
      </w:r>
      <w:r w:rsidR="00374D18" w:rsidRPr="00374D18">
        <w:rPr>
          <w:bCs/>
          <w:i/>
          <w:iCs/>
          <w:lang w:val="vi-VN"/>
        </w:rPr>
        <w:t>SLC10A1</w:t>
      </w:r>
      <w:r w:rsidRPr="00EF1A45">
        <w:rPr>
          <w:bCs/>
          <w:lang w:val="vi-VN"/>
        </w:rPr>
        <w:t xml:space="preserve"> gene</w:t>
      </w:r>
    </w:p>
    <w:p w14:paraId="597BBA09" w14:textId="77777777" w:rsidR="00EF1A45" w:rsidRPr="00EF1A45" w:rsidRDefault="00EF1A45" w:rsidP="00AD5DCE">
      <w:pPr>
        <w:widowControl w:val="0"/>
        <w:spacing w:line="340" w:lineRule="exact"/>
        <w:ind w:firstLine="720"/>
        <w:rPr>
          <w:bCs/>
          <w:lang w:val="vi-VN"/>
        </w:rPr>
      </w:pPr>
      <w:r w:rsidRPr="00EF1A45">
        <w:rPr>
          <w:bCs/>
          <w:lang w:val="vi-VN"/>
        </w:rPr>
        <w:t>Data analysis</w:t>
      </w:r>
    </w:p>
    <w:p w14:paraId="6D8FDA54" w14:textId="5E6B8E50" w:rsidR="00EF1A45" w:rsidRPr="00EF1A45" w:rsidRDefault="00EF1A45" w:rsidP="00AD5DCE">
      <w:pPr>
        <w:widowControl w:val="0"/>
        <w:spacing w:line="340" w:lineRule="exact"/>
        <w:ind w:firstLine="0"/>
        <w:rPr>
          <w:b/>
          <w:lang w:val="vi-VN"/>
        </w:rPr>
      </w:pPr>
      <w:r w:rsidRPr="00EF1A45">
        <w:rPr>
          <w:b/>
          <w:lang w:val="vi-VN"/>
        </w:rPr>
        <w:t xml:space="preserve">2.4. Study </w:t>
      </w:r>
      <w:r w:rsidR="0049643F" w:rsidRPr="00EF1A45">
        <w:rPr>
          <w:b/>
          <w:lang w:val="vi-VN"/>
        </w:rPr>
        <w:t>variables</w:t>
      </w:r>
    </w:p>
    <w:p w14:paraId="42B7C785" w14:textId="7E8CCDB2" w:rsidR="00EF1A45" w:rsidRPr="00EF1A45" w:rsidRDefault="00EF1A45" w:rsidP="00AD5DCE">
      <w:pPr>
        <w:widowControl w:val="0"/>
        <w:spacing w:line="340" w:lineRule="exact"/>
        <w:ind w:firstLine="0"/>
        <w:rPr>
          <w:b/>
          <w:i/>
          <w:iCs/>
          <w:lang w:val="vi-VN"/>
        </w:rPr>
      </w:pPr>
      <w:r w:rsidRPr="00EF1A45">
        <w:rPr>
          <w:b/>
          <w:i/>
          <w:iCs/>
          <w:lang w:val="vi-VN"/>
        </w:rPr>
        <w:t xml:space="preserve">2.4.1. Characteristics </w:t>
      </w:r>
      <w:r w:rsidR="0049643F" w:rsidRPr="00EF1A45">
        <w:rPr>
          <w:b/>
          <w:i/>
          <w:iCs/>
          <w:lang w:val="vi-VN"/>
        </w:rPr>
        <w:t>of study participants</w:t>
      </w:r>
    </w:p>
    <w:p w14:paraId="1F6E0EA9" w14:textId="77777777" w:rsidR="00EF1A45" w:rsidRPr="00EF1A45" w:rsidRDefault="00EF1A45" w:rsidP="00AD5DCE">
      <w:pPr>
        <w:widowControl w:val="0"/>
        <w:spacing w:line="340" w:lineRule="exact"/>
        <w:ind w:firstLine="720"/>
        <w:rPr>
          <w:bCs/>
          <w:lang w:val="vi-VN"/>
        </w:rPr>
      </w:pPr>
      <w:r w:rsidRPr="00EF1A45">
        <w:rPr>
          <w:bCs/>
          <w:lang w:val="vi-VN"/>
        </w:rPr>
        <w:t>To ensure data consistency, analyses were limited to the following variables: age, sex, selected clinical features, and laboratory parameters.</w:t>
      </w:r>
    </w:p>
    <w:p w14:paraId="5C353EF6" w14:textId="1C2CD25D" w:rsidR="00EF1A45" w:rsidRPr="00EF1A45" w:rsidRDefault="00EF1A45" w:rsidP="00AD5DCE">
      <w:pPr>
        <w:widowControl w:val="0"/>
        <w:spacing w:line="340" w:lineRule="exact"/>
        <w:ind w:firstLine="0"/>
        <w:rPr>
          <w:b/>
          <w:i/>
          <w:iCs/>
          <w:lang w:val="vi-VN"/>
        </w:rPr>
      </w:pPr>
      <w:r w:rsidRPr="00EF1A45">
        <w:rPr>
          <w:b/>
          <w:i/>
          <w:iCs/>
          <w:lang w:val="vi-VN"/>
        </w:rPr>
        <w:t xml:space="preserve">2.4.2. Characteristics of HBV </w:t>
      </w:r>
      <w:r w:rsidR="00EF225C">
        <w:rPr>
          <w:b/>
          <w:i/>
          <w:iCs/>
          <w:lang w:val="vi-VN"/>
        </w:rPr>
        <w:t>preS</w:t>
      </w:r>
      <w:r w:rsidR="005B5D37" w:rsidRPr="005B5D37">
        <w:rPr>
          <w:b/>
          <w:i/>
          <w:iCs/>
          <w:lang w:val="vi-VN"/>
        </w:rPr>
        <w:t>/S</w:t>
      </w:r>
      <w:r w:rsidRPr="00EF1A45">
        <w:rPr>
          <w:b/>
          <w:i/>
          <w:iCs/>
          <w:lang w:val="vi-VN"/>
        </w:rPr>
        <w:t xml:space="preserve"> </w:t>
      </w:r>
      <w:r w:rsidR="0049643F" w:rsidRPr="00EF1A45">
        <w:rPr>
          <w:b/>
          <w:i/>
          <w:iCs/>
          <w:lang w:val="vi-VN"/>
        </w:rPr>
        <w:t>mutations</w:t>
      </w:r>
      <w:r w:rsidRPr="00EF1A45">
        <w:rPr>
          <w:b/>
          <w:i/>
          <w:iCs/>
          <w:lang w:val="vi-VN"/>
        </w:rPr>
        <w:t xml:space="preserve"> and NTCP S267F </w:t>
      </w:r>
      <w:r w:rsidR="0049643F" w:rsidRPr="00EF1A45">
        <w:rPr>
          <w:b/>
          <w:i/>
          <w:iCs/>
          <w:lang w:val="vi-VN"/>
        </w:rPr>
        <w:t>variant</w:t>
      </w:r>
    </w:p>
    <w:p w14:paraId="01BD4DD8" w14:textId="77777777" w:rsidR="00EF1A45" w:rsidRPr="00EF1A45" w:rsidRDefault="00EF1A45" w:rsidP="00AD5DCE">
      <w:pPr>
        <w:widowControl w:val="0"/>
        <w:spacing w:line="340" w:lineRule="exact"/>
        <w:ind w:firstLine="720"/>
        <w:rPr>
          <w:bCs/>
          <w:lang w:val="vi-VN"/>
        </w:rPr>
      </w:pPr>
      <w:r w:rsidRPr="00EF1A45">
        <w:rPr>
          <w:bCs/>
          <w:lang w:val="vi-VN"/>
        </w:rPr>
        <w:t>HBV genotypes: B, C, D, and I.</w:t>
      </w:r>
    </w:p>
    <w:p w14:paraId="56600F37" w14:textId="58B998BF" w:rsidR="00EF1A45" w:rsidRPr="00EF1A45" w:rsidRDefault="00EF1A45" w:rsidP="00AD5DCE">
      <w:pPr>
        <w:widowControl w:val="0"/>
        <w:spacing w:line="340" w:lineRule="exact"/>
        <w:ind w:firstLine="720"/>
        <w:rPr>
          <w:bCs/>
          <w:lang w:val="vi-VN"/>
        </w:rPr>
      </w:pPr>
      <w:r w:rsidRPr="00EF1A45">
        <w:rPr>
          <w:bCs/>
          <w:lang w:val="vi-VN"/>
        </w:rPr>
        <w:t xml:space="preserve">HBV </w:t>
      </w:r>
      <w:r w:rsidR="00EF225C">
        <w:rPr>
          <w:bCs/>
          <w:i/>
          <w:iCs/>
          <w:lang w:val="vi-VN"/>
        </w:rPr>
        <w:t>preS</w:t>
      </w:r>
      <w:r w:rsidR="005B5D37" w:rsidRPr="005B5D37">
        <w:rPr>
          <w:bCs/>
          <w:i/>
          <w:iCs/>
          <w:lang w:val="vi-VN"/>
        </w:rPr>
        <w:t>/S</w:t>
      </w:r>
      <w:r w:rsidRPr="00EF1A45">
        <w:rPr>
          <w:bCs/>
          <w:lang w:val="vi-VN"/>
        </w:rPr>
        <w:t xml:space="preserve"> mutations: To ensure sequence quality consistency, analysis focused on the </w:t>
      </w:r>
      <w:r w:rsidR="00EF225C">
        <w:rPr>
          <w:bCs/>
          <w:i/>
          <w:iCs/>
          <w:lang w:val="vi-VN"/>
        </w:rPr>
        <w:t>preS</w:t>
      </w:r>
      <w:r w:rsidR="005B5D37" w:rsidRPr="005B5D37">
        <w:rPr>
          <w:bCs/>
          <w:i/>
          <w:iCs/>
          <w:lang w:val="vi-VN"/>
        </w:rPr>
        <w:t>/S</w:t>
      </w:r>
      <w:r w:rsidRPr="00EF1A45">
        <w:rPr>
          <w:bCs/>
          <w:lang w:val="vi-VN"/>
        </w:rPr>
        <w:t xml:space="preserve"> gene region from codon 20 to codon 174.</w:t>
      </w:r>
    </w:p>
    <w:p w14:paraId="3E349038" w14:textId="77777777" w:rsidR="00EF1A45" w:rsidRPr="00EF1A45" w:rsidRDefault="00EF1A45" w:rsidP="00AD5DCE">
      <w:pPr>
        <w:widowControl w:val="0"/>
        <w:spacing w:line="340" w:lineRule="exact"/>
        <w:ind w:firstLine="720"/>
        <w:rPr>
          <w:bCs/>
          <w:lang w:val="vi-VN"/>
        </w:rPr>
      </w:pPr>
      <w:r w:rsidRPr="00EF1A45">
        <w:rPr>
          <w:bCs/>
          <w:lang w:val="vi-VN"/>
        </w:rPr>
        <w:t>Mutations with a frequency ≥10% among the 273 analyzed sequences were defined as mutation “hotspots” and retained for further analysis.</w:t>
      </w:r>
    </w:p>
    <w:p w14:paraId="018D79A8" w14:textId="77777777" w:rsidR="00EF1A45" w:rsidRPr="00EF1A45" w:rsidRDefault="00EF1A45" w:rsidP="00AD5DCE">
      <w:pPr>
        <w:widowControl w:val="0"/>
        <w:spacing w:line="340" w:lineRule="exact"/>
        <w:ind w:firstLine="720"/>
        <w:rPr>
          <w:bCs/>
          <w:lang w:val="vi-VN"/>
        </w:rPr>
      </w:pPr>
      <w:r w:rsidRPr="00EF1A45">
        <w:rPr>
          <w:bCs/>
          <w:lang w:val="vi-VN"/>
        </w:rPr>
        <w:t>NTCP polymorphisms:</w:t>
      </w:r>
    </w:p>
    <w:p w14:paraId="2B80D62F" w14:textId="77777777" w:rsidR="00EF1A45" w:rsidRPr="00EF1A45" w:rsidRDefault="00EF1A45" w:rsidP="00AD5DCE">
      <w:pPr>
        <w:widowControl w:val="0"/>
        <w:spacing w:line="340" w:lineRule="exact"/>
        <w:ind w:firstLine="720"/>
        <w:rPr>
          <w:bCs/>
          <w:lang w:val="vi-VN"/>
        </w:rPr>
      </w:pPr>
      <w:r w:rsidRPr="00EF1A45">
        <w:rPr>
          <w:bCs/>
          <w:lang w:val="vi-VN"/>
        </w:rPr>
        <w:t>Wild-type genotype (CC);</w:t>
      </w:r>
    </w:p>
    <w:p w14:paraId="08A58CBD" w14:textId="77777777" w:rsidR="00EF1A45" w:rsidRPr="00EF1A45" w:rsidRDefault="00EF1A45" w:rsidP="00AD5DCE">
      <w:pPr>
        <w:widowControl w:val="0"/>
        <w:spacing w:line="340" w:lineRule="exact"/>
        <w:ind w:firstLine="720"/>
        <w:rPr>
          <w:bCs/>
          <w:lang w:val="vi-VN"/>
        </w:rPr>
      </w:pPr>
      <w:r w:rsidRPr="00EF1A45">
        <w:rPr>
          <w:bCs/>
          <w:lang w:val="vi-VN"/>
        </w:rPr>
        <w:t>Heterozygous mutant genotype (CT) – NTCP S267F variant;</w:t>
      </w:r>
    </w:p>
    <w:p w14:paraId="5214EE76" w14:textId="77777777" w:rsidR="00EF1A45" w:rsidRPr="00EF1A45" w:rsidRDefault="00EF1A45" w:rsidP="00AD5DCE">
      <w:pPr>
        <w:widowControl w:val="0"/>
        <w:spacing w:line="340" w:lineRule="exact"/>
        <w:ind w:firstLine="720"/>
        <w:rPr>
          <w:bCs/>
          <w:lang w:val="vi-VN"/>
        </w:rPr>
      </w:pPr>
      <w:r w:rsidRPr="00EF1A45">
        <w:rPr>
          <w:bCs/>
          <w:lang w:val="vi-VN"/>
        </w:rPr>
        <w:t>Homozygous mutant genotype (TT) – NTCP S267F variant.</w:t>
      </w:r>
    </w:p>
    <w:p w14:paraId="7689FC67" w14:textId="77777777" w:rsidR="00EF1A45" w:rsidRPr="00EF1A45" w:rsidRDefault="00EF1A45" w:rsidP="00AD5DCE">
      <w:pPr>
        <w:widowControl w:val="0"/>
        <w:spacing w:line="340" w:lineRule="exact"/>
        <w:ind w:firstLine="0"/>
        <w:rPr>
          <w:b/>
          <w:lang w:val="vi-VN"/>
        </w:rPr>
      </w:pPr>
      <w:r w:rsidRPr="00EF1A45">
        <w:rPr>
          <w:b/>
          <w:lang w:val="vi-VN"/>
        </w:rPr>
        <w:t>2.5. Data Analysis</w:t>
      </w:r>
    </w:p>
    <w:p w14:paraId="26A4F793" w14:textId="77777777" w:rsidR="00EF1A45" w:rsidRPr="00EF1A45" w:rsidRDefault="00EF1A45" w:rsidP="00AD5DCE">
      <w:pPr>
        <w:widowControl w:val="0"/>
        <w:spacing w:line="340" w:lineRule="exact"/>
        <w:ind w:firstLine="720"/>
        <w:rPr>
          <w:bCs/>
          <w:lang w:val="vi-VN"/>
        </w:rPr>
      </w:pPr>
      <w:r w:rsidRPr="00EF1A45">
        <w:rPr>
          <w:bCs/>
          <w:lang w:val="vi-VN"/>
        </w:rPr>
        <w:t xml:space="preserve">Data were stored and managed using Microsoft Excel 365. </w:t>
      </w:r>
      <w:r w:rsidRPr="00EF1A45">
        <w:rPr>
          <w:bCs/>
          <w:lang w:val="vi-VN"/>
        </w:rPr>
        <w:lastRenderedPageBreak/>
        <w:t>Data cleaning and statistical analyses were performed using SPSS version 25.0. Appropriate statistical tests were applied according to data distribution, with statistical significance set at p &lt; 0.05.</w:t>
      </w:r>
    </w:p>
    <w:p w14:paraId="0EEC097E" w14:textId="64B800A0" w:rsidR="00EF1A45" w:rsidRPr="00EF1A45" w:rsidRDefault="00EF1A45" w:rsidP="00AD5DCE">
      <w:pPr>
        <w:widowControl w:val="0"/>
        <w:spacing w:line="340" w:lineRule="exact"/>
        <w:ind w:firstLine="0"/>
        <w:rPr>
          <w:b/>
          <w:lang w:val="vi-VN"/>
        </w:rPr>
      </w:pPr>
      <w:r w:rsidRPr="00EF1A45">
        <w:rPr>
          <w:b/>
          <w:lang w:val="vi-VN"/>
        </w:rPr>
        <w:t>2.6. Ethical</w:t>
      </w:r>
      <w:r w:rsidR="0049643F" w:rsidRPr="00EF1A45">
        <w:rPr>
          <w:b/>
          <w:lang w:val="vi-VN"/>
        </w:rPr>
        <w:t xml:space="preserve"> considerations</w:t>
      </w:r>
    </w:p>
    <w:p w14:paraId="1034DCA6" w14:textId="563861F1" w:rsidR="00EF1A45" w:rsidRPr="00EF1A45" w:rsidRDefault="00EF1A45" w:rsidP="00AD5DCE">
      <w:pPr>
        <w:widowControl w:val="0"/>
        <w:spacing w:line="340" w:lineRule="exact"/>
        <w:ind w:firstLine="720"/>
        <w:rPr>
          <w:bCs/>
          <w:lang w:val="vi-VN"/>
        </w:rPr>
      </w:pPr>
      <w:r w:rsidRPr="00EF1A45">
        <w:rPr>
          <w:bCs/>
          <w:lang w:val="vi-VN"/>
        </w:rPr>
        <w:t>The study adhered to all ethical principles of biomedical research. Participation was entirely voluntary, and participants had the right to withdraw from the study at any time.</w:t>
      </w:r>
    </w:p>
    <w:p w14:paraId="570196C8" w14:textId="09F10D74" w:rsidR="00EF1A45" w:rsidRPr="00AD5DCE" w:rsidRDefault="00AD5DCE" w:rsidP="00AD5DCE">
      <w:pPr>
        <w:widowControl w:val="0"/>
        <w:spacing w:line="340" w:lineRule="exact"/>
        <w:ind w:firstLine="0"/>
        <w:rPr>
          <w:bCs/>
          <w:lang w:val="vi-VN"/>
        </w:rPr>
      </w:pPr>
      <w:r w:rsidRPr="00AD5DCE">
        <w:rPr>
          <w:bCs/>
          <w:noProof/>
        </w:rPr>
        <w:drawing>
          <wp:anchor distT="0" distB="0" distL="114300" distR="114300" simplePos="0" relativeHeight="251703296" behindDoc="0" locked="0" layoutInCell="1" allowOverlap="1" wp14:anchorId="33CF65FB" wp14:editId="124C6A85">
            <wp:simplePos x="0" y="0"/>
            <wp:positionH relativeFrom="margin">
              <wp:posOffset>734060</wp:posOffset>
            </wp:positionH>
            <wp:positionV relativeFrom="paragraph">
              <wp:posOffset>730885</wp:posOffset>
            </wp:positionV>
            <wp:extent cx="2691130" cy="3193415"/>
            <wp:effectExtent l="0" t="0" r="0" b="6985"/>
            <wp:wrapTopAndBottom/>
            <wp:docPr id="19157597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759735"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691130" cy="3193415"/>
                    </a:xfrm>
                    <a:prstGeom prst="rect">
                      <a:avLst/>
                    </a:prstGeom>
                  </pic:spPr>
                </pic:pic>
              </a:graphicData>
            </a:graphic>
            <wp14:sizeRelH relativeFrom="margin">
              <wp14:pctWidth>0</wp14:pctWidth>
            </wp14:sizeRelH>
            <wp14:sizeRelV relativeFrom="margin">
              <wp14:pctHeight>0</wp14:pctHeight>
            </wp14:sizeRelV>
          </wp:anchor>
        </w:drawing>
      </w:r>
      <w:r w:rsidR="00EF1A45" w:rsidRPr="00EF1A45">
        <w:rPr>
          <w:bCs/>
          <w:lang w:val="vi-VN"/>
        </w:rPr>
        <w:t>The study protocol was approved by the Ethics Committee of the Vietnam Military Medical University (Approval No. 24/2023/C</w:t>
      </w:r>
      <w:r w:rsidR="00D6554E" w:rsidRPr="00AD5DCE">
        <w:rPr>
          <w:bCs/>
          <w:lang w:val="vi-VN"/>
        </w:rPr>
        <w:t>control</w:t>
      </w:r>
      <w:r w:rsidR="00EF1A45" w:rsidRPr="00EF1A45">
        <w:rPr>
          <w:bCs/>
          <w:lang w:val="vi-VN"/>
        </w:rPr>
        <w:t>ht, dated January 20, 2023).</w:t>
      </w:r>
    </w:p>
    <w:p w14:paraId="172C6919" w14:textId="3C7259F0" w:rsidR="00556026" w:rsidRPr="00AD5DCE" w:rsidRDefault="00556026" w:rsidP="00556026">
      <w:pPr>
        <w:spacing w:line="340" w:lineRule="exact"/>
        <w:ind w:firstLine="90"/>
        <w:jc w:val="center"/>
        <w:rPr>
          <w:b/>
          <w:lang w:val="vi-VN"/>
        </w:rPr>
      </w:pPr>
      <w:r w:rsidRPr="00AD5DCE">
        <w:rPr>
          <w:b/>
          <w:lang w:val="vi-VN"/>
        </w:rPr>
        <w:t>Diagram 2.1. Research diagram</w:t>
      </w:r>
    </w:p>
    <w:p w14:paraId="6B5EC347" w14:textId="45FA2976" w:rsidR="00556026" w:rsidRPr="00AD5DCE" w:rsidRDefault="00556026" w:rsidP="00556026">
      <w:pPr>
        <w:pStyle w:val="Heading1"/>
        <w:keepNext w:val="0"/>
        <w:widowControl w:val="0"/>
        <w:numPr>
          <w:ilvl w:val="0"/>
          <w:numId w:val="0"/>
        </w:numPr>
      </w:pPr>
      <w:bookmarkStart w:id="4" w:name="_Toc209906417"/>
      <w:bookmarkStart w:id="5" w:name="_Toc218884339"/>
      <w:r w:rsidRPr="00AD5DCE">
        <w:t>Chapter 3. RESULTS</w:t>
      </w:r>
    </w:p>
    <w:p w14:paraId="59FE62B6" w14:textId="1E0D4B8D" w:rsidR="00556026" w:rsidRPr="00AD5DCE" w:rsidRDefault="00556026" w:rsidP="00556026">
      <w:pPr>
        <w:spacing w:line="340" w:lineRule="exact"/>
        <w:ind w:firstLine="0"/>
        <w:rPr>
          <w:rFonts w:eastAsia="Times New Roman"/>
          <w:b/>
          <w:iCs/>
          <w:noProof/>
          <w:lang w:val="vi-VN"/>
        </w:rPr>
      </w:pPr>
      <w:r w:rsidRPr="00AD5DCE">
        <w:rPr>
          <w:rFonts w:eastAsia="Times New Roman"/>
          <w:b/>
          <w:iCs/>
          <w:noProof/>
          <w:lang w:val="vi-VN"/>
        </w:rPr>
        <w:t xml:space="preserve">3.1. </w:t>
      </w:r>
      <w:bookmarkEnd w:id="4"/>
      <w:bookmarkEnd w:id="5"/>
      <w:r w:rsidR="006422DE" w:rsidRPr="00AD5DCE">
        <w:rPr>
          <w:rFonts w:eastAsia="Times New Roman"/>
          <w:b/>
          <w:iCs/>
          <w:noProof/>
        </w:rPr>
        <w:t>General characteristics of the study participants</w:t>
      </w:r>
    </w:p>
    <w:p w14:paraId="0F1DCBA5" w14:textId="021C03FA" w:rsidR="00556026" w:rsidRPr="00AD5DCE" w:rsidRDefault="00556026" w:rsidP="00556026">
      <w:pPr>
        <w:spacing w:line="340" w:lineRule="exact"/>
        <w:ind w:firstLine="0"/>
        <w:rPr>
          <w:rFonts w:eastAsia="Times New Roman"/>
          <w:b/>
          <w:i/>
          <w:iCs/>
          <w:noProof/>
          <w:lang w:val="vi-VN"/>
        </w:rPr>
      </w:pPr>
      <w:bookmarkStart w:id="6" w:name="_Toc209906418"/>
      <w:bookmarkStart w:id="7" w:name="_Toc218884340"/>
      <w:r w:rsidRPr="00AD5DCE">
        <w:rPr>
          <w:rFonts w:eastAsia="Times New Roman"/>
          <w:b/>
          <w:i/>
          <w:iCs/>
          <w:noProof/>
          <w:lang w:val="vi-VN"/>
        </w:rPr>
        <w:lastRenderedPageBreak/>
        <w:t xml:space="preserve">3.1.1. </w:t>
      </w:r>
      <w:bookmarkEnd w:id="6"/>
      <w:bookmarkEnd w:id="7"/>
      <w:r w:rsidR="006422DE" w:rsidRPr="00AD5DCE">
        <w:rPr>
          <w:rFonts w:eastAsia="Times New Roman"/>
          <w:b/>
          <w:i/>
          <w:iCs/>
          <w:noProof/>
        </w:rPr>
        <w:t>Age and sex characteristics</w:t>
      </w:r>
    </w:p>
    <w:p w14:paraId="051A1F29" w14:textId="1092288A" w:rsidR="00556026" w:rsidRPr="00AD5DCE" w:rsidRDefault="006422DE" w:rsidP="00556026">
      <w:pPr>
        <w:spacing w:line="340" w:lineRule="exact"/>
        <w:ind w:firstLine="0"/>
        <w:jc w:val="center"/>
        <w:rPr>
          <w:rFonts w:eastAsia="Times New Roman"/>
          <w:b/>
          <w:iCs/>
          <w:noProof/>
          <w:lang w:val="vi-VN"/>
        </w:rPr>
      </w:pPr>
      <w:r w:rsidRPr="00AD5DCE">
        <w:rPr>
          <w:rFonts w:eastAsia="Times New Roman"/>
          <w:b/>
          <w:iCs/>
          <w:noProof/>
          <w:lang w:val="vi-VN"/>
        </w:rPr>
        <w:t>Table 3.1. Distribution of participants by age group and gender</w:t>
      </w:r>
    </w:p>
    <w:tbl>
      <w:tblPr>
        <w:tblW w:w="50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6"/>
        <w:gridCol w:w="1205"/>
        <w:gridCol w:w="923"/>
        <w:gridCol w:w="1016"/>
        <w:gridCol w:w="1111"/>
        <w:gridCol w:w="987"/>
      </w:tblGrid>
      <w:tr w:rsidR="00AD5DCE" w:rsidRPr="00AD5DCE" w14:paraId="643B94C6" w14:textId="77777777" w:rsidTr="006422DE">
        <w:trPr>
          <w:trHeight w:hRule="exact" w:val="892"/>
          <w:jc w:val="center"/>
        </w:trPr>
        <w:tc>
          <w:tcPr>
            <w:tcW w:w="750" w:type="pct"/>
            <w:vAlign w:val="center"/>
          </w:tcPr>
          <w:p w14:paraId="2652353D" w14:textId="1931E9F4" w:rsidR="006422DE" w:rsidRPr="00AD5DCE" w:rsidRDefault="006422DE" w:rsidP="006422DE">
            <w:pPr>
              <w:ind w:left="-110" w:right="-110" w:firstLine="0"/>
              <w:jc w:val="center"/>
              <w:rPr>
                <w:rFonts w:eastAsia="Times New Roman"/>
                <w:b/>
                <w:iCs/>
                <w:noProof/>
                <w:lang w:val="vi-VN"/>
              </w:rPr>
            </w:pPr>
            <w:r w:rsidRPr="00AD5DCE">
              <w:rPr>
                <w:rFonts w:eastAsia="Times New Roman"/>
                <w:b/>
                <w:iCs/>
                <w:noProof/>
              </w:rPr>
              <w:t>Age</w:t>
            </w:r>
          </w:p>
        </w:tc>
        <w:tc>
          <w:tcPr>
            <w:tcW w:w="977" w:type="pct"/>
          </w:tcPr>
          <w:p w14:paraId="70483FC4" w14:textId="77777777" w:rsidR="006422DE" w:rsidRPr="00AD5DCE" w:rsidRDefault="006422DE" w:rsidP="006422DE">
            <w:pPr>
              <w:ind w:left="-110" w:right="-110" w:firstLine="0"/>
              <w:jc w:val="center"/>
              <w:rPr>
                <w:b/>
                <w:bCs/>
                <w:lang w:val="vi-VN"/>
              </w:rPr>
            </w:pPr>
            <w:r w:rsidRPr="00AD5DCE">
              <w:rPr>
                <w:b/>
                <w:bCs/>
              </w:rPr>
              <w:t xml:space="preserve">HCC </w:t>
            </w:r>
          </w:p>
          <w:p w14:paraId="42F72B9E" w14:textId="77777777" w:rsidR="006422DE" w:rsidRPr="00AD5DCE" w:rsidRDefault="006422DE" w:rsidP="006422DE">
            <w:pPr>
              <w:ind w:left="-110" w:right="-110" w:firstLine="0"/>
              <w:jc w:val="center"/>
              <w:rPr>
                <w:lang w:val="vi-VN"/>
              </w:rPr>
            </w:pPr>
            <w:r w:rsidRPr="00AD5DCE">
              <w:t xml:space="preserve">(n=231) </w:t>
            </w:r>
          </w:p>
          <w:p w14:paraId="1C3B65A0" w14:textId="1EC33C90" w:rsidR="006422DE" w:rsidRPr="00AD5DCE" w:rsidRDefault="006422DE" w:rsidP="006422DE">
            <w:pPr>
              <w:ind w:left="-110" w:right="-110" w:firstLine="0"/>
              <w:jc w:val="center"/>
              <w:rPr>
                <w:rFonts w:eastAsia="Times New Roman"/>
                <w:b/>
                <w:iCs/>
                <w:noProof/>
              </w:rPr>
            </w:pPr>
            <w:r w:rsidRPr="00AD5DCE">
              <w:t>n (%)</w:t>
            </w:r>
          </w:p>
        </w:tc>
        <w:tc>
          <w:tcPr>
            <w:tcW w:w="748" w:type="pct"/>
          </w:tcPr>
          <w:p w14:paraId="5533AFF3" w14:textId="77777777" w:rsidR="006422DE" w:rsidRPr="00AD5DCE" w:rsidRDefault="006422DE" w:rsidP="006422DE">
            <w:pPr>
              <w:ind w:left="-110" w:right="-110" w:firstLine="0"/>
              <w:jc w:val="center"/>
              <w:rPr>
                <w:lang w:val="vi-VN"/>
              </w:rPr>
            </w:pPr>
            <w:r w:rsidRPr="00AD5DCE">
              <w:rPr>
                <w:b/>
                <w:bCs/>
              </w:rPr>
              <w:t>LC</w:t>
            </w:r>
            <w:r w:rsidRPr="00AD5DCE">
              <w:t xml:space="preserve"> (n=96) </w:t>
            </w:r>
          </w:p>
          <w:p w14:paraId="46F31980" w14:textId="13AFAAAF" w:rsidR="006422DE" w:rsidRPr="00AD5DCE" w:rsidRDefault="006422DE" w:rsidP="006422DE">
            <w:pPr>
              <w:ind w:left="-110" w:right="-110" w:firstLine="0"/>
              <w:jc w:val="center"/>
              <w:rPr>
                <w:rFonts w:eastAsia="Times New Roman"/>
                <w:b/>
                <w:iCs/>
                <w:noProof/>
              </w:rPr>
            </w:pPr>
            <w:r w:rsidRPr="00AD5DCE">
              <w:t>n (%)</w:t>
            </w:r>
          </w:p>
        </w:tc>
        <w:tc>
          <w:tcPr>
            <w:tcW w:w="824" w:type="pct"/>
          </w:tcPr>
          <w:p w14:paraId="59FD06A8" w14:textId="2DCE36CD" w:rsidR="006422DE" w:rsidRPr="00AD5DCE" w:rsidRDefault="006422DE" w:rsidP="006422DE">
            <w:pPr>
              <w:ind w:left="-110" w:right="-110" w:firstLine="0"/>
              <w:jc w:val="center"/>
              <w:rPr>
                <w:rFonts w:eastAsia="Times New Roman"/>
                <w:b/>
                <w:iCs/>
                <w:noProof/>
              </w:rPr>
            </w:pPr>
            <w:r w:rsidRPr="00AD5DCE">
              <w:rPr>
                <w:b/>
                <w:bCs/>
              </w:rPr>
              <w:t xml:space="preserve">CHB </w:t>
            </w:r>
            <w:r w:rsidRPr="00AD5DCE">
              <w:t>(n=102) n (%)</w:t>
            </w:r>
          </w:p>
        </w:tc>
        <w:tc>
          <w:tcPr>
            <w:tcW w:w="901" w:type="pct"/>
          </w:tcPr>
          <w:p w14:paraId="6F44173E" w14:textId="77777777" w:rsidR="006422DE" w:rsidRPr="00AD5DCE" w:rsidRDefault="006422DE" w:rsidP="006422DE">
            <w:pPr>
              <w:ind w:left="-110" w:right="-110" w:firstLine="0"/>
              <w:jc w:val="center"/>
              <w:rPr>
                <w:lang w:val="vi-VN"/>
              </w:rPr>
            </w:pPr>
            <w:r w:rsidRPr="0049643F">
              <w:rPr>
                <w:b/>
                <w:bCs/>
              </w:rPr>
              <w:t xml:space="preserve">Control </w:t>
            </w:r>
            <w:r w:rsidRPr="00AD5DCE">
              <w:t xml:space="preserve">(n=314) </w:t>
            </w:r>
          </w:p>
          <w:p w14:paraId="739CD946" w14:textId="32DD4F9D" w:rsidR="006422DE" w:rsidRPr="00AD5DCE" w:rsidRDefault="006422DE" w:rsidP="006422DE">
            <w:pPr>
              <w:ind w:left="-110" w:right="-110" w:firstLine="0"/>
              <w:jc w:val="center"/>
              <w:rPr>
                <w:rFonts w:eastAsia="Times New Roman"/>
                <w:b/>
                <w:iCs/>
                <w:noProof/>
              </w:rPr>
            </w:pPr>
            <w:r w:rsidRPr="00AD5DCE">
              <w:t>n (%)</w:t>
            </w:r>
          </w:p>
        </w:tc>
        <w:tc>
          <w:tcPr>
            <w:tcW w:w="800" w:type="pct"/>
          </w:tcPr>
          <w:p w14:paraId="6348358F" w14:textId="42FDBF83" w:rsidR="006422DE" w:rsidRPr="00AD5DCE" w:rsidRDefault="006422DE" w:rsidP="006422DE">
            <w:pPr>
              <w:ind w:left="-110" w:right="-110" w:firstLine="0"/>
              <w:jc w:val="center"/>
              <w:rPr>
                <w:rFonts w:eastAsia="Times New Roman"/>
                <w:b/>
                <w:iCs/>
                <w:noProof/>
                <w:lang w:val="vi-VN"/>
              </w:rPr>
            </w:pPr>
            <w:r w:rsidRPr="00AD5DCE">
              <w:t>p</w:t>
            </w:r>
          </w:p>
        </w:tc>
      </w:tr>
      <w:tr w:rsidR="00AD5DCE" w:rsidRPr="00AD5DCE" w14:paraId="1ADA8F6B" w14:textId="77777777" w:rsidTr="00FF3FFF">
        <w:trPr>
          <w:trHeight w:val="427"/>
          <w:jc w:val="center"/>
        </w:trPr>
        <w:tc>
          <w:tcPr>
            <w:tcW w:w="750" w:type="pct"/>
            <w:vAlign w:val="center"/>
          </w:tcPr>
          <w:p w14:paraId="5CC76A5C"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 40</w:t>
            </w:r>
          </w:p>
        </w:tc>
        <w:tc>
          <w:tcPr>
            <w:tcW w:w="977" w:type="pct"/>
            <w:vAlign w:val="center"/>
          </w:tcPr>
          <w:p w14:paraId="694843FB" w14:textId="1347C936"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10 (4</w:t>
            </w:r>
            <w:r w:rsidR="006422DE" w:rsidRPr="00AD5DCE">
              <w:rPr>
                <w:rFonts w:eastAsia="Times New Roman"/>
                <w:bCs/>
                <w:iCs/>
                <w:noProof/>
                <w:lang w:val="vi-VN"/>
              </w:rPr>
              <w:t>.</w:t>
            </w:r>
            <w:r w:rsidRPr="00AD5DCE">
              <w:rPr>
                <w:rFonts w:eastAsia="Times New Roman"/>
                <w:bCs/>
                <w:iCs/>
                <w:noProof/>
                <w:lang w:val="vi-VN"/>
              </w:rPr>
              <w:t>3)</w:t>
            </w:r>
          </w:p>
        </w:tc>
        <w:tc>
          <w:tcPr>
            <w:tcW w:w="748" w:type="pct"/>
            <w:vAlign w:val="center"/>
          </w:tcPr>
          <w:p w14:paraId="1464D7FE" w14:textId="24C954A1"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11 (11</w:t>
            </w:r>
            <w:r w:rsidR="006422DE" w:rsidRPr="00AD5DCE">
              <w:rPr>
                <w:rFonts w:eastAsia="Times New Roman"/>
                <w:bCs/>
                <w:iCs/>
                <w:noProof/>
                <w:lang w:val="vi-VN"/>
              </w:rPr>
              <w:t>.</w:t>
            </w:r>
            <w:r w:rsidRPr="00AD5DCE">
              <w:rPr>
                <w:rFonts w:eastAsia="Times New Roman"/>
                <w:bCs/>
                <w:iCs/>
                <w:noProof/>
                <w:lang w:val="vi-VN"/>
              </w:rPr>
              <w:t>5)</w:t>
            </w:r>
          </w:p>
        </w:tc>
        <w:tc>
          <w:tcPr>
            <w:tcW w:w="824" w:type="pct"/>
            <w:vAlign w:val="center"/>
          </w:tcPr>
          <w:p w14:paraId="7BBEDCA6" w14:textId="238D874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38 (37</w:t>
            </w:r>
            <w:r w:rsidR="006422DE" w:rsidRPr="00AD5DCE">
              <w:rPr>
                <w:rFonts w:eastAsia="Times New Roman"/>
                <w:bCs/>
                <w:iCs/>
                <w:noProof/>
                <w:lang w:val="vi-VN"/>
              </w:rPr>
              <w:t>.</w:t>
            </w:r>
            <w:r w:rsidRPr="00AD5DCE">
              <w:rPr>
                <w:rFonts w:eastAsia="Times New Roman"/>
                <w:bCs/>
                <w:iCs/>
                <w:noProof/>
                <w:lang w:val="vi-VN"/>
              </w:rPr>
              <w:t>3)</w:t>
            </w:r>
          </w:p>
        </w:tc>
        <w:tc>
          <w:tcPr>
            <w:tcW w:w="901" w:type="pct"/>
            <w:vAlign w:val="center"/>
          </w:tcPr>
          <w:p w14:paraId="6423C10B" w14:textId="0E088BE8"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rPr>
              <w:t>196</w:t>
            </w:r>
            <w:r w:rsidRPr="00AD5DCE">
              <w:rPr>
                <w:rFonts w:eastAsia="Times New Roman"/>
                <w:bCs/>
                <w:iCs/>
                <w:noProof/>
                <w:lang w:val="vi-VN"/>
              </w:rPr>
              <w:t xml:space="preserve"> (62</w:t>
            </w:r>
            <w:r w:rsidR="006422DE" w:rsidRPr="00AD5DCE">
              <w:rPr>
                <w:rFonts w:eastAsia="Times New Roman"/>
                <w:bCs/>
                <w:iCs/>
                <w:noProof/>
                <w:lang w:val="vi-VN"/>
              </w:rPr>
              <w:t>.</w:t>
            </w:r>
            <w:r w:rsidRPr="00AD5DCE">
              <w:rPr>
                <w:rFonts w:eastAsia="Times New Roman"/>
                <w:bCs/>
                <w:iCs/>
                <w:noProof/>
                <w:lang w:val="vi-VN"/>
              </w:rPr>
              <w:t>4)</w:t>
            </w:r>
          </w:p>
        </w:tc>
        <w:tc>
          <w:tcPr>
            <w:tcW w:w="800" w:type="pct"/>
            <w:vMerge w:val="restart"/>
            <w:vAlign w:val="center"/>
          </w:tcPr>
          <w:p w14:paraId="4AB19CD6" w14:textId="11EFE4ED"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&lt;0</w:t>
            </w:r>
            <w:r w:rsidR="006422DE" w:rsidRPr="00AD5DCE">
              <w:rPr>
                <w:rFonts w:eastAsia="Times New Roman"/>
                <w:bCs/>
                <w:iCs/>
                <w:noProof/>
                <w:lang w:val="vi-VN"/>
              </w:rPr>
              <w:t>.</w:t>
            </w:r>
            <w:r w:rsidRPr="00AD5DCE">
              <w:rPr>
                <w:rFonts w:eastAsia="Times New Roman"/>
                <w:bCs/>
                <w:iCs/>
                <w:noProof/>
                <w:lang w:val="vi-VN"/>
              </w:rPr>
              <w:t>001</w:t>
            </w:r>
            <w:r w:rsidRPr="00AD5DCE">
              <w:rPr>
                <w:rFonts w:eastAsia="Times New Roman"/>
                <w:bCs/>
                <w:iCs/>
                <w:noProof/>
                <w:vertAlign w:val="superscript"/>
                <w:lang w:val="vi-VN"/>
              </w:rPr>
              <w:t>a</w:t>
            </w:r>
          </w:p>
        </w:tc>
      </w:tr>
      <w:tr w:rsidR="00AD5DCE" w:rsidRPr="00AD5DCE" w14:paraId="3478F703" w14:textId="77777777" w:rsidTr="00FF3FFF">
        <w:trPr>
          <w:trHeight w:val="427"/>
          <w:jc w:val="center"/>
        </w:trPr>
        <w:tc>
          <w:tcPr>
            <w:tcW w:w="750" w:type="pct"/>
            <w:vAlign w:val="center"/>
          </w:tcPr>
          <w:p w14:paraId="4DBCAEE6"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41 - 59</w:t>
            </w:r>
          </w:p>
        </w:tc>
        <w:tc>
          <w:tcPr>
            <w:tcW w:w="977" w:type="pct"/>
            <w:vAlign w:val="center"/>
          </w:tcPr>
          <w:p w14:paraId="5A8E7BC7" w14:textId="6ED56B36"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73 (31</w:t>
            </w:r>
            <w:r w:rsidR="006422DE" w:rsidRPr="00AD5DCE">
              <w:rPr>
                <w:rFonts w:eastAsia="Times New Roman"/>
                <w:bCs/>
                <w:iCs/>
                <w:noProof/>
                <w:lang w:val="vi-VN"/>
              </w:rPr>
              <w:t>.</w:t>
            </w:r>
            <w:r w:rsidRPr="00AD5DCE">
              <w:rPr>
                <w:rFonts w:eastAsia="Times New Roman"/>
                <w:bCs/>
                <w:iCs/>
                <w:noProof/>
                <w:lang w:val="vi-VN"/>
              </w:rPr>
              <w:t>6)</w:t>
            </w:r>
          </w:p>
        </w:tc>
        <w:tc>
          <w:tcPr>
            <w:tcW w:w="748" w:type="pct"/>
            <w:vAlign w:val="center"/>
          </w:tcPr>
          <w:p w14:paraId="272F7369" w14:textId="7D28EF89"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49 (51</w:t>
            </w:r>
            <w:r w:rsidR="006422DE" w:rsidRPr="00AD5DCE">
              <w:rPr>
                <w:rFonts w:eastAsia="Times New Roman"/>
                <w:bCs/>
                <w:iCs/>
                <w:noProof/>
                <w:lang w:val="vi-VN"/>
              </w:rPr>
              <w:t>.</w:t>
            </w:r>
            <w:r w:rsidRPr="00AD5DCE">
              <w:rPr>
                <w:rFonts w:eastAsia="Times New Roman"/>
                <w:bCs/>
                <w:iCs/>
                <w:noProof/>
                <w:lang w:val="vi-VN"/>
              </w:rPr>
              <w:t>0)</w:t>
            </w:r>
          </w:p>
        </w:tc>
        <w:tc>
          <w:tcPr>
            <w:tcW w:w="824" w:type="pct"/>
            <w:vAlign w:val="center"/>
          </w:tcPr>
          <w:p w14:paraId="626B4F1F" w14:textId="3B8E5BD5"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45 (44</w:t>
            </w:r>
            <w:r w:rsidR="006422DE" w:rsidRPr="00AD5DCE">
              <w:rPr>
                <w:rFonts w:eastAsia="Times New Roman"/>
                <w:bCs/>
                <w:iCs/>
                <w:noProof/>
                <w:lang w:val="vi-VN"/>
              </w:rPr>
              <w:t>.</w:t>
            </w:r>
            <w:r w:rsidRPr="00AD5DCE">
              <w:rPr>
                <w:rFonts w:eastAsia="Times New Roman"/>
                <w:bCs/>
                <w:iCs/>
                <w:noProof/>
                <w:lang w:val="vi-VN"/>
              </w:rPr>
              <w:t>1)</w:t>
            </w:r>
          </w:p>
        </w:tc>
        <w:tc>
          <w:tcPr>
            <w:tcW w:w="901" w:type="pct"/>
            <w:vAlign w:val="center"/>
          </w:tcPr>
          <w:p w14:paraId="49C73925" w14:textId="605A5C36"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rPr>
              <w:t>81</w:t>
            </w:r>
            <w:r w:rsidRPr="00AD5DCE">
              <w:rPr>
                <w:rFonts w:eastAsia="Times New Roman"/>
                <w:bCs/>
                <w:iCs/>
                <w:noProof/>
                <w:lang w:val="vi-VN"/>
              </w:rPr>
              <w:t xml:space="preserve"> (25</w:t>
            </w:r>
            <w:r w:rsidR="006422DE" w:rsidRPr="00AD5DCE">
              <w:rPr>
                <w:rFonts w:eastAsia="Times New Roman"/>
                <w:bCs/>
                <w:iCs/>
                <w:noProof/>
                <w:lang w:val="vi-VN"/>
              </w:rPr>
              <w:t>.</w:t>
            </w:r>
            <w:r w:rsidRPr="00AD5DCE">
              <w:rPr>
                <w:rFonts w:eastAsia="Times New Roman"/>
                <w:bCs/>
                <w:iCs/>
                <w:noProof/>
                <w:lang w:val="vi-VN"/>
              </w:rPr>
              <w:t>8)</w:t>
            </w:r>
          </w:p>
        </w:tc>
        <w:tc>
          <w:tcPr>
            <w:tcW w:w="800" w:type="pct"/>
            <w:vMerge/>
            <w:vAlign w:val="center"/>
          </w:tcPr>
          <w:p w14:paraId="7AE814F5" w14:textId="77777777" w:rsidR="00556026" w:rsidRPr="00AD5DCE" w:rsidRDefault="00556026" w:rsidP="00FF3FFF">
            <w:pPr>
              <w:spacing w:line="240" w:lineRule="auto"/>
              <w:ind w:left="-110" w:right="-110" w:firstLine="0"/>
              <w:jc w:val="center"/>
              <w:rPr>
                <w:rFonts w:eastAsia="Times New Roman"/>
                <w:bCs/>
                <w:iCs/>
                <w:noProof/>
                <w:lang w:val="vi-VN"/>
              </w:rPr>
            </w:pPr>
          </w:p>
        </w:tc>
      </w:tr>
      <w:tr w:rsidR="00AD5DCE" w:rsidRPr="00AD5DCE" w14:paraId="24891037" w14:textId="77777777" w:rsidTr="00FF3FFF">
        <w:trPr>
          <w:trHeight w:val="427"/>
          <w:jc w:val="center"/>
        </w:trPr>
        <w:tc>
          <w:tcPr>
            <w:tcW w:w="750" w:type="pct"/>
            <w:vAlign w:val="center"/>
          </w:tcPr>
          <w:p w14:paraId="1FA8F93F"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 60</w:t>
            </w:r>
          </w:p>
        </w:tc>
        <w:tc>
          <w:tcPr>
            <w:tcW w:w="977" w:type="pct"/>
            <w:vAlign w:val="center"/>
          </w:tcPr>
          <w:p w14:paraId="306EA07B" w14:textId="130CCD40"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148 (64</w:t>
            </w:r>
            <w:r w:rsidR="006422DE" w:rsidRPr="00AD5DCE">
              <w:rPr>
                <w:rFonts w:eastAsia="Times New Roman"/>
                <w:bCs/>
                <w:iCs/>
                <w:noProof/>
                <w:lang w:val="vi-VN"/>
              </w:rPr>
              <w:t>.</w:t>
            </w:r>
            <w:r w:rsidRPr="00AD5DCE">
              <w:rPr>
                <w:rFonts w:eastAsia="Times New Roman"/>
                <w:bCs/>
                <w:iCs/>
                <w:noProof/>
                <w:lang w:val="vi-VN"/>
              </w:rPr>
              <w:t>1)</w:t>
            </w:r>
          </w:p>
        </w:tc>
        <w:tc>
          <w:tcPr>
            <w:tcW w:w="748" w:type="pct"/>
            <w:vAlign w:val="center"/>
          </w:tcPr>
          <w:p w14:paraId="1F0F6A2C" w14:textId="1DC01B71"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36 (37</w:t>
            </w:r>
            <w:r w:rsidR="006422DE" w:rsidRPr="00AD5DCE">
              <w:rPr>
                <w:rFonts w:eastAsia="Times New Roman"/>
                <w:bCs/>
                <w:iCs/>
                <w:noProof/>
                <w:lang w:val="vi-VN"/>
              </w:rPr>
              <w:t>.</w:t>
            </w:r>
            <w:r w:rsidRPr="00AD5DCE">
              <w:rPr>
                <w:rFonts w:eastAsia="Times New Roman"/>
                <w:bCs/>
                <w:iCs/>
                <w:noProof/>
                <w:lang w:val="vi-VN"/>
              </w:rPr>
              <w:t>5)</w:t>
            </w:r>
          </w:p>
        </w:tc>
        <w:tc>
          <w:tcPr>
            <w:tcW w:w="824" w:type="pct"/>
            <w:vAlign w:val="center"/>
          </w:tcPr>
          <w:p w14:paraId="2D68EB82" w14:textId="31C0422E"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19 (18</w:t>
            </w:r>
            <w:r w:rsidR="006422DE" w:rsidRPr="00AD5DCE">
              <w:rPr>
                <w:rFonts w:eastAsia="Times New Roman"/>
                <w:bCs/>
                <w:iCs/>
                <w:noProof/>
                <w:lang w:val="vi-VN"/>
              </w:rPr>
              <w:t>.</w:t>
            </w:r>
            <w:r w:rsidRPr="00AD5DCE">
              <w:rPr>
                <w:rFonts w:eastAsia="Times New Roman"/>
                <w:bCs/>
                <w:iCs/>
                <w:noProof/>
                <w:lang w:val="vi-VN"/>
              </w:rPr>
              <w:t>6)</w:t>
            </w:r>
          </w:p>
        </w:tc>
        <w:tc>
          <w:tcPr>
            <w:tcW w:w="901" w:type="pct"/>
            <w:vAlign w:val="center"/>
          </w:tcPr>
          <w:p w14:paraId="2D1FA5AE" w14:textId="1AF3F025"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rPr>
              <w:t>37</w:t>
            </w:r>
            <w:r w:rsidRPr="00AD5DCE">
              <w:rPr>
                <w:rFonts w:eastAsia="Times New Roman"/>
                <w:bCs/>
                <w:iCs/>
                <w:noProof/>
                <w:lang w:val="vi-VN"/>
              </w:rPr>
              <w:t xml:space="preserve"> (11</w:t>
            </w:r>
            <w:r w:rsidR="006422DE" w:rsidRPr="00AD5DCE">
              <w:rPr>
                <w:rFonts w:eastAsia="Times New Roman"/>
                <w:bCs/>
                <w:iCs/>
                <w:noProof/>
                <w:lang w:val="vi-VN"/>
              </w:rPr>
              <w:t>.</w:t>
            </w:r>
            <w:r w:rsidRPr="00AD5DCE">
              <w:rPr>
                <w:rFonts w:eastAsia="Times New Roman"/>
                <w:bCs/>
                <w:iCs/>
                <w:noProof/>
                <w:lang w:val="vi-VN"/>
              </w:rPr>
              <w:t>8)</w:t>
            </w:r>
          </w:p>
        </w:tc>
        <w:tc>
          <w:tcPr>
            <w:tcW w:w="800" w:type="pct"/>
            <w:vMerge/>
            <w:vAlign w:val="center"/>
          </w:tcPr>
          <w:p w14:paraId="3223DAAE" w14:textId="77777777" w:rsidR="00556026" w:rsidRPr="00AD5DCE" w:rsidRDefault="00556026" w:rsidP="00FF3FFF">
            <w:pPr>
              <w:spacing w:line="240" w:lineRule="auto"/>
              <w:ind w:left="-110" w:right="-110" w:firstLine="0"/>
              <w:jc w:val="center"/>
              <w:rPr>
                <w:rFonts w:eastAsia="Times New Roman"/>
                <w:bCs/>
                <w:iCs/>
                <w:noProof/>
                <w:lang w:val="vi-VN"/>
              </w:rPr>
            </w:pPr>
          </w:p>
        </w:tc>
      </w:tr>
      <w:tr w:rsidR="00AD5DCE" w:rsidRPr="00AD5DCE" w14:paraId="3724FDB3" w14:textId="77777777" w:rsidTr="00FF3FFF">
        <w:trPr>
          <w:trHeight w:val="358"/>
          <w:jc w:val="center"/>
        </w:trPr>
        <w:tc>
          <w:tcPr>
            <w:tcW w:w="750" w:type="pct"/>
            <w:vAlign w:val="center"/>
          </w:tcPr>
          <w:p w14:paraId="393FE100" w14:textId="3715DFA3" w:rsidR="00556026" w:rsidRPr="00AD5DCE" w:rsidRDefault="006422DE" w:rsidP="00FF3FFF">
            <w:pPr>
              <w:spacing w:line="240" w:lineRule="auto"/>
              <w:ind w:left="-110" w:right="-110" w:firstLine="0"/>
              <w:jc w:val="center"/>
              <w:rPr>
                <w:rFonts w:eastAsia="Times New Roman"/>
                <w:bCs/>
                <w:iCs/>
                <w:noProof/>
                <w:lang w:val="vi-VN"/>
              </w:rPr>
            </w:pPr>
            <w:r w:rsidRPr="00AD5DCE">
              <w:rPr>
                <w:rFonts w:eastAsia="Times New Roman"/>
                <w:bCs/>
                <w:iCs/>
                <w:noProof/>
              </w:rPr>
              <w:t>Median</w:t>
            </w:r>
          </w:p>
        </w:tc>
        <w:tc>
          <w:tcPr>
            <w:tcW w:w="977" w:type="pct"/>
            <w:vAlign w:val="center"/>
          </w:tcPr>
          <w:p w14:paraId="62A7A0BA"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rPr>
              <w:t>64</w:t>
            </w:r>
          </w:p>
        </w:tc>
        <w:tc>
          <w:tcPr>
            <w:tcW w:w="748" w:type="pct"/>
            <w:vAlign w:val="center"/>
          </w:tcPr>
          <w:p w14:paraId="53CDF6B5"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rPr>
              <w:t>56</w:t>
            </w:r>
          </w:p>
        </w:tc>
        <w:tc>
          <w:tcPr>
            <w:tcW w:w="824" w:type="pct"/>
            <w:vAlign w:val="center"/>
          </w:tcPr>
          <w:p w14:paraId="1F7E5041"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rPr>
              <w:t>47</w:t>
            </w:r>
          </w:p>
        </w:tc>
        <w:tc>
          <w:tcPr>
            <w:tcW w:w="901" w:type="pct"/>
            <w:vAlign w:val="center"/>
          </w:tcPr>
          <w:p w14:paraId="4BD98090"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33</w:t>
            </w:r>
          </w:p>
        </w:tc>
        <w:tc>
          <w:tcPr>
            <w:tcW w:w="800" w:type="pct"/>
            <w:vMerge w:val="restart"/>
            <w:vAlign w:val="center"/>
          </w:tcPr>
          <w:p w14:paraId="722601EE" w14:textId="774EC3F4"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&lt;0</w:t>
            </w:r>
            <w:r w:rsidR="006422DE" w:rsidRPr="00AD5DCE">
              <w:rPr>
                <w:rFonts w:eastAsia="Times New Roman"/>
                <w:bCs/>
                <w:iCs/>
                <w:noProof/>
                <w:lang w:val="vi-VN"/>
              </w:rPr>
              <w:t>.</w:t>
            </w:r>
            <w:r w:rsidRPr="00AD5DCE">
              <w:rPr>
                <w:rFonts w:eastAsia="Times New Roman"/>
                <w:bCs/>
                <w:iCs/>
                <w:noProof/>
                <w:lang w:val="vi-VN"/>
              </w:rPr>
              <w:t>001</w:t>
            </w:r>
            <w:r w:rsidRPr="00AD5DCE">
              <w:rPr>
                <w:rFonts w:eastAsia="Times New Roman"/>
                <w:bCs/>
                <w:iCs/>
                <w:noProof/>
                <w:vertAlign w:val="superscript"/>
                <w:lang w:val="vi-VN"/>
              </w:rPr>
              <w:t>*</w:t>
            </w:r>
          </w:p>
        </w:tc>
      </w:tr>
      <w:tr w:rsidR="00AD5DCE" w:rsidRPr="00AD5DCE" w14:paraId="535BEE09" w14:textId="77777777" w:rsidTr="00FF3FFF">
        <w:trPr>
          <w:trHeight w:val="427"/>
          <w:jc w:val="center"/>
        </w:trPr>
        <w:tc>
          <w:tcPr>
            <w:tcW w:w="750" w:type="pct"/>
            <w:vAlign w:val="center"/>
          </w:tcPr>
          <w:p w14:paraId="212587C8"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rPr>
              <w:t>Q1–Q3</w:t>
            </w:r>
          </w:p>
        </w:tc>
        <w:tc>
          <w:tcPr>
            <w:tcW w:w="977" w:type="pct"/>
            <w:vAlign w:val="center"/>
          </w:tcPr>
          <w:p w14:paraId="37D6CFA2"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54-69</w:t>
            </w:r>
          </w:p>
        </w:tc>
        <w:tc>
          <w:tcPr>
            <w:tcW w:w="748" w:type="pct"/>
            <w:vAlign w:val="center"/>
          </w:tcPr>
          <w:p w14:paraId="46E85ABC"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47-64</w:t>
            </w:r>
          </w:p>
        </w:tc>
        <w:tc>
          <w:tcPr>
            <w:tcW w:w="824" w:type="pct"/>
            <w:vAlign w:val="center"/>
          </w:tcPr>
          <w:p w14:paraId="5AEDB2D1"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35-55</w:t>
            </w:r>
          </w:p>
        </w:tc>
        <w:tc>
          <w:tcPr>
            <w:tcW w:w="901" w:type="pct"/>
            <w:vAlign w:val="center"/>
          </w:tcPr>
          <w:p w14:paraId="6BF1D191" w14:textId="77777777" w:rsidR="00556026" w:rsidRPr="00AD5DCE" w:rsidRDefault="00556026" w:rsidP="00FF3FFF">
            <w:pPr>
              <w:spacing w:line="240" w:lineRule="auto"/>
              <w:ind w:left="-110" w:right="-110" w:firstLine="0"/>
              <w:jc w:val="center"/>
              <w:rPr>
                <w:rFonts w:eastAsia="Times New Roman"/>
                <w:bCs/>
                <w:iCs/>
                <w:noProof/>
                <w:lang w:val="vi-VN"/>
              </w:rPr>
            </w:pPr>
            <w:r w:rsidRPr="00AD5DCE">
              <w:rPr>
                <w:rFonts w:eastAsia="Times New Roman"/>
                <w:bCs/>
                <w:iCs/>
                <w:noProof/>
                <w:lang w:val="vi-VN"/>
              </w:rPr>
              <w:t>22-53</w:t>
            </w:r>
          </w:p>
        </w:tc>
        <w:tc>
          <w:tcPr>
            <w:tcW w:w="800" w:type="pct"/>
            <w:vMerge/>
            <w:vAlign w:val="center"/>
          </w:tcPr>
          <w:p w14:paraId="3701991E" w14:textId="77777777" w:rsidR="00556026" w:rsidRPr="00AD5DCE" w:rsidRDefault="00556026" w:rsidP="00FF3FFF">
            <w:pPr>
              <w:spacing w:line="240" w:lineRule="auto"/>
              <w:ind w:left="-110" w:right="-110" w:firstLine="0"/>
              <w:jc w:val="center"/>
              <w:rPr>
                <w:rFonts w:eastAsia="Times New Roman"/>
                <w:bCs/>
                <w:iCs/>
                <w:noProof/>
                <w:lang w:val="vi-VN"/>
              </w:rPr>
            </w:pPr>
          </w:p>
        </w:tc>
      </w:tr>
    </w:tbl>
    <w:p w14:paraId="08C7BCD2" w14:textId="64BD3B97" w:rsidR="00556026" w:rsidRPr="00AD5DCE" w:rsidRDefault="00556026" w:rsidP="00556026">
      <w:pPr>
        <w:spacing w:line="340" w:lineRule="exact"/>
        <w:ind w:firstLine="0"/>
        <w:rPr>
          <w:rFonts w:eastAsia="Times New Roman"/>
          <w:i/>
          <w:iCs/>
          <w:noProof/>
          <w:lang w:val="vi-VN"/>
        </w:rPr>
      </w:pPr>
      <w:r w:rsidRPr="00AD5DCE">
        <w:rPr>
          <w:rFonts w:eastAsia="Times New Roman"/>
          <w:b/>
          <w:i/>
          <w:iCs/>
          <w:noProof/>
          <w:vertAlign w:val="superscript"/>
          <w:lang w:val="vi-VN"/>
        </w:rPr>
        <w:t xml:space="preserve"> </w:t>
      </w:r>
      <w:r w:rsidRPr="00AD5DCE">
        <w:rPr>
          <w:rFonts w:eastAsia="Times New Roman"/>
          <w:i/>
          <w:iCs/>
          <w:noProof/>
          <w:vertAlign w:val="superscript"/>
          <w:lang w:val="vi-VN"/>
        </w:rPr>
        <w:t xml:space="preserve">a </w:t>
      </w:r>
      <w:r w:rsidR="006422DE" w:rsidRPr="00AD5DCE">
        <w:rPr>
          <w:rFonts w:eastAsia="Times New Roman"/>
          <w:i/>
          <w:iCs/>
          <w:noProof/>
        </w:rPr>
        <w:t>Chi-square test</w:t>
      </w:r>
      <w:r w:rsidRPr="00AD5DCE">
        <w:rPr>
          <w:rFonts w:eastAsia="Times New Roman"/>
          <w:i/>
          <w:iCs/>
          <w:noProof/>
          <w:lang w:val="vi-VN"/>
        </w:rPr>
        <w:t xml:space="preserve">; </w:t>
      </w:r>
      <w:r w:rsidRPr="00AD5DCE">
        <w:rPr>
          <w:rFonts w:eastAsia="Times New Roman"/>
          <w:i/>
          <w:iCs/>
          <w:noProof/>
          <w:vertAlign w:val="superscript"/>
          <w:lang w:val="vi-VN"/>
        </w:rPr>
        <w:t>*</w:t>
      </w:r>
      <w:r w:rsidRPr="00AD5DCE">
        <w:rPr>
          <w:rFonts w:eastAsia="Times New Roman"/>
          <w:i/>
          <w:iCs/>
          <w:noProof/>
          <w:lang w:val="vi-VN"/>
        </w:rPr>
        <w:t xml:space="preserve">Kruskal-Wallis; </w:t>
      </w:r>
    </w:p>
    <w:p w14:paraId="263D5124" w14:textId="2AA07801" w:rsidR="006422DE" w:rsidRPr="00AD5DCE" w:rsidRDefault="00556026" w:rsidP="006422DE">
      <w:pPr>
        <w:spacing w:line="340" w:lineRule="exact"/>
        <w:ind w:firstLine="0"/>
        <w:rPr>
          <w:rFonts w:eastAsia="Times New Roman"/>
          <w:iCs/>
          <w:noProof/>
          <w:lang w:val="vi-VN"/>
        </w:rPr>
      </w:pPr>
      <w:r w:rsidRPr="00AD5DCE">
        <w:rPr>
          <w:rFonts w:eastAsia="Times New Roman"/>
          <w:b/>
          <w:bCs/>
          <w:i/>
          <w:iCs/>
          <w:noProof/>
          <w:lang w:val="vi-VN"/>
        </w:rPr>
        <w:tab/>
      </w:r>
      <w:bookmarkStart w:id="8" w:name="_Toc178610004"/>
      <w:bookmarkStart w:id="9" w:name="_Toc179277774"/>
      <w:bookmarkStart w:id="10" w:name="_Toc181649681"/>
      <w:bookmarkStart w:id="11" w:name="_Toc207715157"/>
      <w:bookmarkStart w:id="12" w:name="_Toc207715286"/>
      <w:bookmarkStart w:id="13" w:name="_Ref210993225"/>
      <w:r w:rsidR="006422DE" w:rsidRPr="00AD5DCE">
        <w:rPr>
          <w:rFonts w:eastAsia="Times New Roman"/>
          <w:iCs/>
          <w:noProof/>
        </w:rPr>
        <w:t xml:space="preserve">The proportion of patients aged ≥60 years was highest in the HCC group (64.1%), followed by the </w:t>
      </w:r>
      <w:r w:rsidR="0049643F">
        <w:rPr>
          <w:rFonts w:eastAsia="Times New Roman"/>
          <w:iCs/>
          <w:noProof/>
        </w:rPr>
        <w:t>LC</w:t>
      </w:r>
      <w:r w:rsidR="006422DE" w:rsidRPr="00AD5DCE">
        <w:rPr>
          <w:rFonts w:eastAsia="Times New Roman"/>
          <w:iCs/>
          <w:noProof/>
        </w:rPr>
        <w:t xml:space="preserve"> group (37.5%) and the </w:t>
      </w:r>
      <w:r w:rsidR="00374D18">
        <w:rPr>
          <w:rFonts w:eastAsia="Times New Roman"/>
          <w:iCs/>
          <w:noProof/>
        </w:rPr>
        <w:t>CHB</w:t>
      </w:r>
      <w:r w:rsidR="006422DE" w:rsidRPr="00AD5DCE">
        <w:rPr>
          <w:rFonts w:eastAsia="Times New Roman"/>
          <w:iCs/>
          <w:noProof/>
        </w:rPr>
        <w:t xml:space="preserve"> group (18.6%).</w:t>
      </w:r>
    </w:p>
    <w:bookmarkEnd w:id="8"/>
    <w:bookmarkEnd w:id="9"/>
    <w:bookmarkEnd w:id="10"/>
    <w:bookmarkEnd w:id="11"/>
    <w:bookmarkEnd w:id="12"/>
    <w:bookmarkEnd w:id="13"/>
    <w:p w14:paraId="24ACC91B" w14:textId="1FFCEF56" w:rsidR="00556026" w:rsidRPr="00AD5DCE" w:rsidRDefault="006422DE" w:rsidP="006422DE">
      <w:pPr>
        <w:spacing w:line="340" w:lineRule="exact"/>
        <w:ind w:firstLine="720"/>
        <w:rPr>
          <w:rFonts w:eastAsia="Times New Roman"/>
          <w:b/>
          <w:iCs/>
          <w:noProof/>
          <w:lang w:val="vi-VN"/>
        </w:rPr>
      </w:pPr>
      <w:r w:rsidRPr="00AD5DCE">
        <w:rPr>
          <w:rFonts w:eastAsia="Times New Roman"/>
          <w:b/>
          <w:iCs/>
          <w:noProof/>
        </w:rPr>
        <w:t xml:space="preserve">Table 3.2. Sex </w:t>
      </w:r>
      <w:r w:rsidR="005B5D37" w:rsidRPr="00AD5DCE">
        <w:rPr>
          <w:rFonts w:eastAsia="Times New Roman"/>
          <w:b/>
          <w:iCs/>
          <w:noProof/>
        </w:rPr>
        <w:t>characteristics of the study</w:t>
      </w:r>
      <w:r w:rsidR="005B5D37" w:rsidRPr="00AD5DCE">
        <w:rPr>
          <w:rFonts w:eastAsia="Times New Roman"/>
          <w:b/>
          <w:iCs/>
          <w:noProof/>
          <w:lang w:val="vi-VN"/>
        </w:rPr>
        <w:t xml:space="preserve"> participants</w:t>
      </w:r>
    </w:p>
    <w:tbl>
      <w:tblPr>
        <w:tblW w:w="5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302"/>
        <w:gridCol w:w="934"/>
        <w:gridCol w:w="1111"/>
        <w:gridCol w:w="1111"/>
        <w:gridCol w:w="829"/>
      </w:tblGrid>
      <w:tr w:rsidR="006422DE" w:rsidRPr="00AD5DCE" w14:paraId="32900DE5" w14:textId="77777777" w:rsidTr="006422DE">
        <w:trPr>
          <w:trHeight w:val="998"/>
          <w:jc w:val="center"/>
        </w:trPr>
        <w:tc>
          <w:tcPr>
            <w:tcW w:w="809" w:type="pct"/>
            <w:vAlign w:val="center"/>
          </w:tcPr>
          <w:p w14:paraId="13ABCE7A" w14:textId="0796F36D" w:rsidR="006422DE" w:rsidRPr="00AD5DCE" w:rsidRDefault="00CF1BCC" w:rsidP="006422DE">
            <w:pPr>
              <w:ind w:left="-110" w:right="-160" w:firstLine="0"/>
              <w:jc w:val="center"/>
              <w:rPr>
                <w:rFonts w:eastAsia="Times New Roman"/>
                <w:b/>
                <w:iCs/>
                <w:noProof/>
                <w:lang w:val="vi-VN"/>
              </w:rPr>
            </w:pPr>
            <w:r w:rsidRPr="00AD5DCE">
              <w:rPr>
                <w:rFonts w:eastAsia="Times New Roman"/>
                <w:b/>
                <w:iCs/>
                <w:noProof/>
                <w:lang w:val="vi-VN"/>
              </w:rPr>
              <w:t>Gender</w:t>
            </w:r>
          </w:p>
        </w:tc>
        <w:tc>
          <w:tcPr>
            <w:tcW w:w="1032" w:type="pct"/>
          </w:tcPr>
          <w:p w14:paraId="0208A407" w14:textId="77777777" w:rsidR="006422DE" w:rsidRPr="00AD5DCE" w:rsidRDefault="006422DE" w:rsidP="006422DE">
            <w:pPr>
              <w:ind w:left="-110" w:right="-110" w:firstLine="0"/>
              <w:jc w:val="center"/>
              <w:rPr>
                <w:b/>
                <w:bCs/>
                <w:lang w:val="vi-VN"/>
              </w:rPr>
            </w:pPr>
            <w:r w:rsidRPr="00AD5DCE">
              <w:rPr>
                <w:b/>
                <w:bCs/>
              </w:rPr>
              <w:t xml:space="preserve">HCC </w:t>
            </w:r>
          </w:p>
          <w:p w14:paraId="208944E3" w14:textId="77777777" w:rsidR="006422DE" w:rsidRPr="00AD5DCE" w:rsidRDefault="006422DE" w:rsidP="006422DE">
            <w:pPr>
              <w:ind w:left="-110" w:right="-110" w:firstLine="0"/>
              <w:jc w:val="center"/>
              <w:rPr>
                <w:lang w:val="vi-VN"/>
              </w:rPr>
            </w:pPr>
            <w:r w:rsidRPr="00AD5DCE">
              <w:t xml:space="preserve">(n=231) </w:t>
            </w:r>
          </w:p>
          <w:p w14:paraId="5E96B49A" w14:textId="4D246F9D" w:rsidR="006422DE" w:rsidRPr="00AD5DCE" w:rsidRDefault="006422DE" w:rsidP="006422DE">
            <w:pPr>
              <w:ind w:left="-110" w:right="-160" w:firstLine="0"/>
              <w:jc w:val="center"/>
              <w:rPr>
                <w:rFonts w:eastAsia="Times New Roman"/>
                <w:b/>
                <w:iCs/>
                <w:noProof/>
              </w:rPr>
            </w:pPr>
            <w:r w:rsidRPr="00AD5DCE">
              <w:t>n (%)</w:t>
            </w:r>
          </w:p>
        </w:tc>
        <w:tc>
          <w:tcPr>
            <w:tcW w:w="740" w:type="pct"/>
          </w:tcPr>
          <w:p w14:paraId="6AA58DC4" w14:textId="77777777" w:rsidR="006422DE" w:rsidRPr="00AD5DCE" w:rsidRDefault="006422DE" w:rsidP="006422DE">
            <w:pPr>
              <w:ind w:left="-110" w:right="-160" w:firstLine="0"/>
              <w:jc w:val="center"/>
              <w:rPr>
                <w:b/>
                <w:bCs/>
                <w:lang w:val="vi-VN"/>
              </w:rPr>
            </w:pPr>
            <w:r w:rsidRPr="00AD5DCE">
              <w:rPr>
                <w:b/>
                <w:bCs/>
              </w:rPr>
              <w:t xml:space="preserve">LC </w:t>
            </w:r>
          </w:p>
          <w:p w14:paraId="30079862" w14:textId="3AF1D5D8" w:rsidR="006422DE" w:rsidRPr="00AD5DCE" w:rsidRDefault="006422DE" w:rsidP="006422DE">
            <w:pPr>
              <w:ind w:left="-110" w:right="-160" w:firstLine="0"/>
              <w:jc w:val="center"/>
              <w:rPr>
                <w:rFonts w:eastAsia="Times New Roman"/>
                <w:b/>
                <w:iCs/>
                <w:noProof/>
              </w:rPr>
            </w:pPr>
            <w:r w:rsidRPr="00AD5DCE">
              <w:t>(n=96) n (%)</w:t>
            </w:r>
          </w:p>
        </w:tc>
        <w:tc>
          <w:tcPr>
            <w:tcW w:w="881" w:type="pct"/>
          </w:tcPr>
          <w:p w14:paraId="5125AB7E" w14:textId="77777777" w:rsidR="00CF1BCC" w:rsidRPr="00AD5DCE" w:rsidRDefault="006422DE" w:rsidP="006422DE">
            <w:pPr>
              <w:ind w:left="-110" w:right="-160" w:firstLine="0"/>
              <w:jc w:val="center"/>
              <w:rPr>
                <w:lang w:val="vi-VN"/>
              </w:rPr>
            </w:pPr>
            <w:r w:rsidRPr="00AD5DCE">
              <w:rPr>
                <w:b/>
                <w:bCs/>
              </w:rPr>
              <w:t xml:space="preserve">CHB </w:t>
            </w:r>
            <w:r w:rsidRPr="00AD5DCE">
              <w:t xml:space="preserve">(n=102) </w:t>
            </w:r>
          </w:p>
          <w:p w14:paraId="393024FA" w14:textId="3476EB17" w:rsidR="006422DE" w:rsidRPr="00AD5DCE" w:rsidRDefault="006422DE" w:rsidP="006422DE">
            <w:pPr>
              <w:ind w:left="-110" w:right="-160" w:firstLine="0"/>
              <w:jc w:val="center"/>
              <w:rPr>
                <w:rFonts w:eastAsia="Times New Roman"/>
                <w:b/>
                <w:iCs/>
                <w:noProof/>
              </w:rPr>
            </w:pPr>
            <w:r w:rsidRPr="00AD5DCE">
              <w:t>n (%)</w:t>
            </w:r>
          </w:p>
        </w:tc>
        <w:tc>
          <w:tcPr>
            <w:tcW w:w="881" w:type="pct"/>
          </w:tcPr>
          <w:p w14:paraId="4DE8467F" w14:textId="77777777" w:rsidR="006422DE" w:rsidRPr="00AD5DCE" w:rsidRDefault="006422DE" w:rsidP="006422DE">
            <w:pPr>
              <w:ind w:left="-110" w:right="-110" w:firstLine="0"/>
              <w:jc w:val="center"/>
              <w:rPr>
                <w:lang w:val="vi-VN"/>
              </w:rPr>
            </w:pPr>
            <w:r w:rsidRPr="005B5D37">
              <w:rPr>
                <w:b/>
                <w:bCs/>
              </w:rPr>
              <w:t>Control</w:t>
            </w:r>
            <w:r w:rsidRPr="00AD5DCE">
              <w:t xml:space="preserve"> (n=314) </w:t>
            </w:r>
          </w:p>
          <w:p w14:paraId="74300477" w14:textId="62E559B7" w:rsidR="006422DE" w:rsidRPr="00AD5DCE" w:rsidRDefault="006422DE" w:rsidP="006422DE">
            <w:pPr>
              <w:ind w:left="-110" w:right="-160" w:firstLine="0"/>
              <w:jc w:val="center"/>
              <w:rPr>
                <w:rFonts w:eastAsia="Times New Roman"/>
                <w:b/>
                <w:iCs/>
                <w:noProof/>
              </w:rPr>
            </w:pPr>
            <w:r w:rsidRPr="00AD5DCE">
              <w:t>n (%)</w:t>
            </w:r>
          </w:p>
        </w:tc>
        <w:tc>
          <w:tcPr>
            <w:tcW w:w="658" w:type="pct"/>
            <w:vAlign w:val="center"/>
          </w:tcPr>
          <w:p w14:paraId="71284FF3" w14:textId="77777777" w:rsidR="006422DE" w:rsidRPr="00AD5DCE" w:rsidRDefault="006422DE" w:rsidP="006422DE">
            <w:pPr>
              <w:ind w:left="-110" w:right="-160" w:firstLine="0"/>
              <w:jc w:val="center"/>
              <w:rPr>
                <w:rFonts w:eastAsia="Times New Roman"/>
                <w:b/>
                <w:iCs/>
                <w:noProof/>
                <w:lang w:val="vi-VN"/>
              </w:rPr>
            </w:pPr>
            <w:r w:rsidRPr="00AD5DCE">
              <w:rPr>
                <w:rFonts w:eastAsia="Times New Roman"/>
                <w:b/>
                <w:bCs/>
                <w:iCs/>
                <w:noProof/>
              </w:rPr>
              <w:t>p</w:t>
            </w:r>
          </w:p>
        </w:tc>
      </w:tr>
      <w:tr w:rsidR="00556026" w:rsidRPr="00AD5DCE" w14:paraId="67B6AD97" w14:textId="77777777" w:rsidTr="006422DE">
        <w:trPr>
          <w:trHeight w:hRule="exact" w:val="520"/>
          <w:jc w:val="center"/>
        </w:trPr>
        <w:tc>
          <w:tcPr>
            <w:tcW w:w="809" w:type="pct"/>
            <w:vAlign w:val="center"/>
          </w:tcPr>
          <w:p w14:paraId="5B71E454" w14:textId="5F21B973" w:rsidR="00556026" w:rsidRPr="00AD5DCE" w:rsidRDefault="00CF1BCC" w:rsidP="00FF3FFF">
            <w:pPr>
              <w:ind w:left="-110" w:right="-160" w:firstLine="0"/>
              <w:jc w:val="center"/>
              <w:rPr>
                <w:rFonts w:eastAsia="Times New Roman"/>
                <w:bCs/>
                <w:iCs/>
                <w:noProof/>
                <w:lang w:val="vi-VN"/>
              </w:rPr>
            </w:pPr>
            <w:r w:rsidRPr="00AD5DCE">
              <w:rPr>
                <w:rFonts w:eastAsia="Times New Roman"/>
                <w:bCs/>
                <w:iCs/>
                <w:noProof/>
              </w:rPr>
              <w:t>Male</w:t>
            </w:r>
          </w:p>
        </w:tc>
        <w:tc>
          <w:tcPr>
            <w:tcW w:w="1032" w:type="pct"/>
            <w:vAlign w:val="center"/>
          </w:tcPr>
          <w:p w14:paraId="3B515810" w14:textId="7D6BB217" w:rsidR="00556026" w:rsidRPr="00AD5DCE" w:rsidRDefault="00556026" w:rsidP="00FF3FFF">
            <w:pPr>
              <w:ind w:left="-110" w:right="-160" w:firstLine="0"/>
              <w:jc w:val="center"/>
              <w:rPr>
                <w:rFonts w:eastAsia="Times New Roman"/>
                <w:bCs/>
                <w:iCs/>
                <w:noProof/>
                <w:lang w:val="vi-VN"/>
              </w:rPr>
            </w:pPr>
            <w:r w:rsidRPr="00AD5DCE">
              <w:rPr>
                <w:rFonts w:eastAsia="Times New Roman"/>
                <w:bCs/>
                <w:iCs/>
                <w:noProof/>
              </w:rPr>
              <w:t>210 (90</w:t>
            </w:r>
            <w:r w:rsidR="006422DE" w:rsidRPr="00AD5DCE">
              <w:rPr>
                <w:rFonts w:eastAsia="Times New Roman"/>
                <w:bCs/>
                <w:iCs/>
                <w:noProof/>
              </w:rPr>
              <w:t>.</w:t>
            </w:r>
            <w:r w:rsidRPr="00AD5DCE">
              <w:rPr>
                <w:rFonts w:eastAsia="Times New Roman"/>
                <w:bCs/>
                <w:iCs/>
                <w:noProof/>
              </w:rPr>
              <w:t>9)</w:t>
            </w:r>
          </w:p>
        </w:tc>
        <w:tc>
          <w:tcPr>
            <w:tcW w:w="740" w:type="pct"/>
            <w:vAlign w:val="center"/>
          </w:tcPr>
          <w:p w14:paraId="3AAC26B8" w14:textId="2C2E3E0B" w:rsidR="00556026" w:rsidRPr="00AD5DCE" w:rsidRDefault="00556026" w:rsidP="00FF3FFF">
            <w:pPr>
              <w:ind w:left="-110" w:right="-160" w:firstLine="0"/>
              <w:jc w:val="center"/>
              <w:rPr>
                <w:rFonts w:eastAsia="Times New Roman"/>
                <w:bCs/>
                <w:iCs/>
                <w:noProof/>
                <w:lang w:val="vi-VN"/>
              </w:rPr>
            </w:pPr>
            <w:r w:rsidRPr="00AD5DCE">
              <w:rPr>
                <w:rFonts w:eastAsia="Times New Roman"/>
                <w:bCs/>
                <w:iCs/>
                <w:noProof/>
              </w:rPr>
              <w:t>78 (81</w:t>
            </w:r>
            <w:r w:rsidR="006422DE" w:rsidRPr="00AD5DCE">
              <w:rPr>
                <w:rFonts w:eastAsia="Times New Roman"/>
                <w:bCs/>
                <w:iCs/>
                <w:noProof/>
              </w:rPr>
              <w:t>.</w:t>
            </w:r>
            <w:r w:rsidRPr="00AD5DCE">
              <w:rPr>
                <w:rFonts w:eastAsia="Times New Roman"/>
                <w:bCs/>
                <w:iCs/>
                <w:noProof/>
              </w:rPr>
              <w:t>3)</w:t>
            </w:r>
          </w:p>
        </w:tc>
        <w:tc>
          <w:tcPr>
            <w:tcW w:w="881" w:type="pct"/>
            <w:vAlign w:val="center"/>
          </w:tcPr>
          <w:p w14:paraId="79563090" w14:textId="2AB367AF" w:rsidR="00556026" w:rsidRPr="00AD5DCE" w:rsidRDefault="00556026" w:rsidP="00FF3FFF">
            <w:pPr>
              <w:ind w:left="-110" w:right="-160" w:firstLine="0"/>
              <w:jc w:val="center"/>
              <w:rPr>
                <w:rFonts w:eastAsia="Times New Roman"/>
                <w:bCs/>
                <w:iCs/>
                <w:noProof/>
                <w:lang w:val="vi-VN"/>
              </w:rPr>
            </w:pPr>
            <w:r w:rsidRPr="00AD5DCE">
              <w:rPr>
                <w:rFonts w:eastAsia="Times New Roman"/>
                <w:bCs/>
                <w:iCs/>
                <w:noProof/>
              </w:rPr>
              <w:t>72 (70</w:t>
            </w:r>
            <w:r w:rsidR="006422DE" w:rsidRPr="00AD5DCE">
              <w:rPr>
                <w:rFonts w:eastAsia="Times New Roman"/>
                <w:bCs/>
                <w:iCs/>
                <w:noProof/>
              </w:rPr>
              <w:t>.</w:t>
            </w:r>
            <w:r w:rsidRPr="00AD5DCE">
              <w:rPr>
                <w:rFonts w:eastAsia="Times New Roman"/>
                <w:bCs/>
                <w:iCs/>
                <w:noProof/>
              </w:rPr>
              <w:t>6)</w:t>
            </w:r>
          </w:p>
        </w:tc>
        <w:tc>
          <w:tcPr>
            <w:tcW w:w="881" w:type="pct"/>
            <w:vAlign w:val="center"/>
          </w:tcPr>
          <w:p w14:paraId="7A920EB4" w14:textId="17FEDA92" w:rsidR="00556026" w:rsidRPr="00AD5DCE" w:rsidRDefault="00556026" w:rsidP="00FF3FFF">
            <w:pPr>
              <w:ind w:left="-110" w:right="-160" w:firstLine="0"/>
              <w:jc w:val="center"/>
              <w:rPr>
                <w:rFonts w:eastAsia="Times New Roman"/>
                <w:bCs/>
                <w:iCs/>
                <w:noProof/>
                <w:lang w:val="vi-VN"/>
              </w:rPr>
            </w:pPr>
            <w:r w:rsidRPr="00AD5DCE">
              <w:rPr>
                <w:rFonts w:eastAsia="Times New Roman"/>
                <w:bCs/>
                <w:iCs/>
                <w:noProof/>
              </w:rPr>
              <w:t>239 (76</w:t>
            </w:r>
            <w:r w:rsidR="006422DE" w:rsidRPr="00AD5DCE">
              <w:rPr>
                <w:rFonts w:eastAsia="Times New Roman"/>
                <w:bCs/>
                <w:iCs/>
                <w:noProof/>
                <w:lang w:val="vi-VN"/>
              </w:rPr>
              <w:t>.</w:t>
            </w:r>
            <w:r w:rsidRPr="00AD5DCE">
              <w:rPr>
                <w:rFonts w:eastAsia="Times New Roman"/>
                <w:bCs/>
                <w:iCs/>
                <w:noProof/>
                <w:lang w:val="vi-VN"/>
              </w:rPr>
              <w:t>1</w:t>
            </w:r>
            <w:r w:rsidRPr="00AD5DCE">
              <w:rPr>
                <w:rFonts w:eastAsia="Times New Roman"/>
                <w:bCs/>
                <w:iCs/>
                <w:noProof/>
              </w:rPr>
              <w:t>)</w:t>
            </w:r>
          </w:p>
        </w:tc>
        <w:tc>
          <w:tcPr>
            <w:tcW w:w="658" w:type="pct"/>
            <w:vMerge w:val="restart"/>
            <w:vAlign w:val="center"/>
          </w:tcPr>
          <w:p w14:paraId="504AFC1C" w14:textId="3E7C9310" w:rsidR="00556026" w:rsidRPr="00AD5DCE" w:rsidRDefault="00556026" w:rsidP="00FF3FFF">
            <w:pPr>
              <w:ind w:left="-110" w:right="-160" w:firstLine="0"/>
              <w:jc w:val="center"/>
              <w:rPr>
                <w:rFonts w:eastAsia="Times New Roman"/>
                <w:bCs/>
                <w:iCs/>
                <w:noProof/>
              </w:rPr>
            </w:pPr>
            <w:r w:rsidRPr="00AD5DCE">
              <w:rPr>
                <w:rFonts w:eastAsia="Times New Roman"/>
                <w:bCs/>
                <w:iCs/>
                <w:noProof/>
                <w:lang w:val="vi-VN"/>
              </w:rPr>
              <w:t>&lt;0</w:t>
            </w:r>
            <w:r w:rsidR="006422DE" w:rsidRPr="00AD5DCE">
              <w:rPr>
                <w:rFonts w:eastAsia="Times New Roman"/>
                <w:bCs/>
                <w:iCs/>
                <w:noProof/>
                <w:lang w:val="vi-VN"/>
              </w:rPr>
              <w:t>.</w:t>
            </w:r>
            <w:r w:rsidRPr="00AD5DCE">
              <w:rPr>
                <w:rFonts w:eastAsia="Times New Roman"/>
                <w:bCs/>
                <w:iCs/>
                <w:noProof/>
                <w:lang w:val="vi-VN"/>
              </w:rPr>
              <w:t>001</w:t>
            </w:r>
            <w:r w:rsidRPr="00AD5DCE">
              <w:rPr>
                <w:rFonts w:eastAsia="Times New Roman"/>
                <w:bCs/>
                <w:iCs/>
                <w:noProof/>
                <w:vertAlign w:val="superscript"/>
                <w:lang w:val="vi-VN"/>
              </w:rPr>
              <w:t>a</w:t>
            </w:r>
          </w:p>
        </w:tc>
      </w:tr>
      <w:tr w:rsidR="00556026" w:rsidRPr="00AD5DCE" w14:paraId="22F63381" w14:textId="77777777" w:rsidTr="006422DE">
        <w:trPr>
          <w:trHeight w:hRule="exact" w:val="415"/>
          <w:jc w:val="center"/>
        </w:trPr>
        <w:tc>
          <w:tcPr>
            <w:tcW w:w="809" w:type="pct"/>
            <w:vAlign w:val="center"/>
          </w:tcPr>
          <w:p w14:paraId="662E5784" w14:textId="10056FAD" w:rsidR="00556026" w:rsidRPr="00AD5DCE" w:rsidRDefault="00CF1BCC" w:rsidP="00CF1BCC">
            <w:pPr>
              <w:ind w:left="-110" w:right="-160" w:firstLine="0"/>
              <w:jc w:val="center"/>
              <w:rPr>
                <w:rFonts w:eastAsia="Times New Roman"/>
                <w:bCs/>
                <w:iCs/>
                <w:noProof/>
                <w:lang w:val="vi-VN"/>
              </w:rPr>
            </w:pPr>
            <w:r w:rsidRPr="00AD5DCE">
              <w:rPr>
                <w:rFonts w:eastAsia="Times New Roman"/>
                <w:bCs/>
                <w:iCs/>
                <w:noProof/>
                <w:lang w:val="vi-VN"/>
              </w:rPr>
              <w:t>Female</w:t>
            </w:r>
          </w:p>
        </w:tc>
        <w:tc>
          <w:tcPr>
            <w:tcW w:w="1032" w:type="pct"/>
            <w:vAlign w:val="center"/>
          </w:tcPr>
          <w:p w14:paraId="1AE03EBE" w14:textId="67D90C6B" w:rsidR="00556026" w:rsidRPr="00AD5DCE" w:rsidRDefault="00556026" w:rsidP="00FF3FFF">
            <w:pPr>
              <w:ind w:left="-110" w:right="-160" w:firstLine="0"/>
              <w:jc w:val="center"/>
              <w:rPr>
                <w:rFonts w:eastAsia="Times New Roman"/>
                <w:bCs/>
                <w:iCs/>
                <w:noProof/>
                <w:lang w:val="vi-VN"/>
              </w:rPr>
            </w:pPr>
            <w:r w:rsidRPr="00AD5DCE">
              <w:rPr>
                <w:rFonts w:eastAsia="Times New Roman"/>
                <w:bCs/>
                <w:iCs/>
                <w:noProof/>
              </w:rPr>
              <w:t>21 (9</w:t>
            </w:r>
            <w:r w:rsidR="006422DE" w:rsidRPr="00AD5DCE">
              <w:rPr>
                <w:rFonts w:eastAsia="Times New Roman"/>
                <w:bCs/>
                <w:iCs/>
                <w:noProof/>
              </w:rPr>
              <w:t>.</w:t>
            </w:r>
            <w:r w:rsidRPr="00AD5DCE">
              <w:rPr>
                <w:rFonts w:eastAsia="Times New Roman"/>
                <w:bCs/>
                <w:iCs/>
                <w:noProof/>
              </w:rPr>
              <w:t>1)</w:t>
            </w:r>
          </w:p>
        </w:tc>
        <w:tc>
          <w:tcPr>
            <w:tcW w:w="740" w:type="pct"/>
            <w:vAlign w:val="center"/>
          </w:tcPr>
          <w:p w14:paraId="27D3C60F" w14:textId="79AF3B54" w:rsidR="00556026" w:rsidRPr="00AD5DCE" w:rsidRDefault="00556026" w:rsidP="00FF3FFF">
            <w:pPr>
              <w:ind w:left="-110" w:right="-160" w:firstLine="0"/>
              <w:jc w:val="center"/>
              <w:rPr>
                <w:rFonts w:eastAsia="Times New Roman"/>
                <w:bCs/>
                <w:iCs/>
                <w:noProof/>
                <w:lang w:val="vi-VN"/>
              </w:rPr>
            </w:pPr>
            <w:r w:rsidRPr="00AD5DCE">
              <w:rPr>
                <w:rFonts w:eastAsia="Times New Roman"/>
                <w:bCs/>
                <w:iCs/>
                <w:noProof/>
              </w:rPr>
              <w:t>18 (18</w:t>
            </w:r>
            <w:r w:rsidR="006422DE" w:rsidRPr="00AD5DCE">
              <w:rPr>
                <w:rFonts w:eastAsia="Times New Roman"/>
                <w:bCs/>
                <w:iCs/>
                <w:noProof/>
              </w:rPr>
              <w:t>.</w:t>
            </w:r>
            <w:r w:rsidRPr="00AD5DCE">
              <w:rPr>
                <w:rFonts w:eastAsia="Times New Roman"/>
                <w:bCs/>
                <w:iCs/>
                <w:noProof/>
              </w:rPr>
              <w:t>7)</w:t>
            </w:r>
          </w:p>
        </w:tc>
        <w:tc>
          <w:tcPr>
            <w:tcW w:w="881" w:type="pct"/>
            <w:vAlign w:val="center"/>
          </w:tcPr>
          <w:p w14:paraId="0261E86C" w14:textId="2D8E9902" w:rsidR="00556026" w:rsidRPr="00AD5DCE" w:rsidRDefault="00556026" w:rsidP="00FF3FFF">
            <w:pPr>
              <w:ind w:left="-110" w:right="-160" w:firstLine="0"/>
              <w:jc w:val="center"/>
              <w:rPr>
                <w:rFonts w:eastAsia="Times New Roman"/>
                <w:bCs/>
                <w:iCs/>
                <w:noProof/>
                <w:lang w:val="vi-VN"/>
              </w:rPr>
            </w:pPr>
            <w:r w:rsidRPr="00AD5DCE">
              <w:rPr>
                <w:rFonts w:eastAsia="Times New Roman"/>
                <w:bCs/>
                <w:iCs/>
                <w:noProof/>
              </w:rPr>
              <w:t>30 (29</w:t>
            </w:r>
            <w:r w:rsidR="006422DE" w:rsidRPr="00AD5DCE">
              <w:rPr>
                <w:rFonts w:eastAsia="Times New Roman"/>
                <w:bCs/>
                <w:iCs/>
                <w:noProof/>
              </w:rPr>
              <w:t>.</w:t>
            </w:r>
            <w:r w:rsidRPr="00AD5DCE">
              <w:rPr>
                <w:rFonts w:eastAsia="Times New Roman"/>
                <w:bCs/>
                <w:iCs/>
                <w:noProof/>
              </w:rPr>
              <w:t>4)</w:t>
            </w:r>
          </w:p>
        </w:tc>
        <w:tc>
          <w:tcPr>
            <w:tcW w:w="881" w:type="pct"/>
            <w:vAlign w:val="center"/>
          </w:tcPr>
          <w:p w14:paraId="011E28D7" w14:textId="14D4A2B9" w:rsidR="00556026" w:rsidRPr="00AD5DCE" w:rsidRDefault="00556026" w:rsidP="00FF3FFF">
            <w:pPr>
              <w:ind w:left="-110" w:right="-160" w:firstLine="0"/>
              <w:jc w:val="center"/>
              <w:rPr>
                <w:rFonts w:eastAsia="Times New Roman"/>
                <w:bCs/>
                <w:iCs/>
                <w:noProof/>
                <w:lang w:val="vi-VN"/>
              </w:rPr>
            </w:pPr>
            <w:r w:rsidRPr="00AD5DCE">
              <w:rPr>
                <w:rFonts w:eastAsia="Times New Roman"/>
                <w:bCs/>
                <w:iCs/>
                <w:noProof/>
              </w:rPr>
              <w:t>75 (23</w:t>
            </w:r>
            <w:r w:rsidR="006422DE" w:rsidRPr="00AD5DCE">
              <w:rPr>
                <w:rFonts w:eastAsia="Times New Roman"/>
                <w:bCs/>
                <w:iCs/>
                <w:noProof/>
                <w:lang w:val="vi-VN"/>
              </w:rPr>
              <w:t>.</w:t>
            </w:r>
            <w:r w:rsidRPr="00AD5DCE">
              <w:rPr>
                <w:rFonts w:eastAsia="Times New Roman"/>
                <w:bCs/>
                <w:iCs/>
                <w:noProof/>
                <w:lang w:val="vi-VN"/>
              </w:rPr>
              <w:t>9</w:t>
            </w:r>
            <w:r w:rsidRPr="00AD5DCE">
              <w:rPr>
                <w:rFonts w:eastAsia="Times New Roman"/>
                <w:bCs/>
                <w:iCs/>
                <w:noProof/>
              </w:rPr>
              <w:t>)</w:t>
            </w:r>
          </w:p>
        </w:tc>
        <w:tc>
          <w:tcPr>
            <w:tcW w:w="658" w:type="pct"/>
            <w:vMerge/>
            <w:vAlign w:val="center"/>
          </w:tcPr>
          <w:p w14:paraId="7D117D05" w14:textId="77777777" w:rsidR="00556026" w:rsidRPr="00AD5DCE" w:rsidRDefault="00556026" w:rsidP="00FF3FFF">
            <w:pPr>
              <w:ind w:left="-110" w:right="-160" w:firstLine="0"/>
              <w:jc w:val="center"/>
              <w:rPr>
                <w:rFonts w:eastAsia="Times New Roman"/>
                <w:bCs/>
                <w:iCs/>
                <w:noProof/>
              </w:rPr>
            </w:pPr>
          </w:p>
        </w:tc>
      </w:tr>
    </w:tbl>
    <w:p w14:paraId="5A22AAE9" w14:textId="34B7BCBA" w:rsidR="00556026" w:rsidRPr="00AD5DCE" w:rsidRDefault="00556026" w:rsidP="00556026">
      <w:pPr>
        <w:spacing w:line="340" w:lineRule="exact"/>
        <w:ind w:firstLine="0"/>
        <w:rPr>
          <w:rFonts w:eastAsia="Times New Roman"/>
          <w:i/>
          <w:iCs/>
          <w:noProof/>
          <w:lang w:val="vi-VN"/>
        </w:rPr>
      </w:pPr>
      <w:r w:rsidRPr="00AD5DCE">
        <w:rPr>
          <w:rFonts w:eastAsia="Times New Roman"/>
          <w:i/>
          <w:iCs/>
          <w:noProof/>
          <w:vertAlign w:val="superscript"/>
          <w:lang w:val="vi-VN"/>
        </w:rPr>
        <w:t xml:space="preserve"> a </w:t>
      </w:r>
      <w:r w:rsidR="006422DE" w:rsidRPr="00AD5DCE">
        <w:rPr>
          <w:rFonts w:eastAsia="Times New Roman"/>
          <w:i/>
          <w:iCs/>
          <w:noProof/>
          <w:lang w:val="vi-VN"/>
        </w:rPr>
        <w:t>Chi-square test</w:t>
      </w:r>
      <w:r w:rsidRPr="00AD5DCE">
        <w:rPr>
          <w:rFonts w:eastAsia="Times New Roman"/>
          <w:i/>
          <w:iCs/>
          <w:noProof/>
          <w:lang w:val="vi-VN"/>
        </w:rPr>
        <w:t xml:space="preserve">; </w:t>
      </w:r>
    </w:p>
    <w:p w14:paraId="0E60C976" w14:textId="77777777" w:rsidR="00CF1BCC" w:rsidRPr="00AD5DCE" w:rsidRDefault="00CF1BCC" w:rsidP="00CF1BCC">
      <w:pPr>
        <w:spacing w:line="340" w:lineRule="exact"/>
        <w:ind w:firstLine="720"/>
        <w:rPr>
          <w:rFonts w:eastAsia="Times New Roman"/>
          <w:bCs/>
          <w:iCs/>
          <w:noProof/>
          <w:lang w:val="vi-VN"/>
        </w:rPr>
      </w:pPr>
      <w:bookmarkStart w:id="14" w:name="_Toc209906421"/>
      <w:bookmarkStart w:id="15" w:name="_Toc218884343"/>
      <w:bookmarkStart w:id="16" w:name="_Ref210993239"/>
      <w:r w:rsidRPr="00AD5DCE">
        <w:rPr>
          <w:rFonts w:eastAsia="Times New Roman"/>
          <w:bCs/>
          <w:iCs/>
          <w:noProof/>
          <w:lang w:val="vi-VN"/>
        </w:rPr>
        <w:t>Males predominated in all study groups, with the highest proportion observed in the HCC group (90.9%).</w:t>
      </w:r>
    </w:p>
    <w:p w14:paraId="48EB8AF2" w14:textId="3A0C78B9" w:rsidR="00556026" w:rsidRPr="00AD5DCE" w:rsidRDefault="00556026" w:rsidP="00556026">
      <w:pPr>
        <w:spacing w:line="340" w:lineRule="exact"/>
        <w:ind w:firstLine="0"/>
        <w:rPr>
          <w:rFonts w:eastAsiaTheme="majorEastAsia"/>
          <w:b/>
          <w:color w:val="0D0D0D" w:themeColor="text1" w:themeTint="F2"/>
          <w:lang w:val="vi-VN"/>
        </w:rPr>
      </w:pPr>
      <w:r w:rsidRPr="00AD5DCE">
        <w:rPr>
          <w:rFonts w:eastAsiaTheme="majorEastAsia"/>
          <w:b/>
          <w:color w:val="0D0D0D" w:themeColor="text1" w:themeTint="F2"/>
        </w:rPr>
        <w:t>3</w:t>
      </w:r>
      <w:r w:rsidR="006422DE" w:rsidRPr="00AD5DCE">
        <w:rPr>
          <w:rFonts w:eastAsiaTheme="majorEastAsia"/>
          <w:b/>
          <w:color w:val="0D0D0D" w:themeColor="text1" w:themeTint="F2"/>
        </w:rPr>
        <w:t>.</w:t>
      </w:r>
      <w:r w:rsidRPr="00AD5DCE">
        <w:rPr>
          <w:rFonts w:eastAsiaTheme="majorEastAsia"/>
          <w:b/>
          <w:color w:val="0D0D0D" w:themeColor="text1" w:themeTint="F2"/>
        </w:rPr>
        <w:t>2</w:t>
      </w:r>
      <w:r w:rsidR="006422DE" w:rsidRPr="00AD5DCE">
        <w:rPr>
          <w:rFonts w:eastAsiaTheme="majorEastAsia"/>
          <w:b/>
          <w:color w:val="0D0D0D" w:themeColor="text1" w:themeTint="F2"/>
        </w:rPr>
        <w:t>.</w:t>
      </w:r>
      <w:r w:rsidRPr="00AD5DCE">
        <w:rPr>
          <w:rFonts w:eastAsiaTheme="majorEastAsia"/>
          <w:b/>
          <w:color w:val="0D0D0D" w:themeColor="text1" w:themeTint="F2"/>
        </w:rPr>
        <w:t xml:space="preserve"> </w:t>
      </w:r>
      <w:bookmarkEnd w:id="14"/>
      <w:bookmarkEnd w:id="15"/>
      <w:r w:rsidR="00CF1BCC" w:rsidRPr="00AD5DCE">
        <w:rPr>
          <w:rFonts w:eastAsiaTheme="majorEastAsia"/>
          <w:b/>
          <w:color w:val="0D0D0D" w:themeColor="text1" w:themeTint="F2"/>
        </w:rPr>
        <w:t xml:space="preserve">Characteristics of </w:t>
      </w:r>
      <w:r w:rsidR="00EF225C">
        <w:rPr>
          <w:rFonts w:eastAsiaTheme="majorEastAsia"/>
          <w:b/>
          <w:i/>
          <w:iCs/>
          <w:color w:val="0D0D0D" w:themeColor="text1" w:themeTint="F2"/>
        </w:rPr>
        <w:t>preS</w:t>
      </w:r>
      <w:r w:rsidR="005B5D37" w:rsidRPr="005B5D37">
        <w:rPr>
          <w:rFonts w:eastAsiaTheme="majorEastAsia"/>
          <w:b/>
          <w:i/>
          <w:iCs/>
          <w:color w:val="0D0D0D" w:themeColor="text1" w:themeTint="F2"/>
        </w:rPr>
        <w:t>/S</w:t>
      </w:r>
      <w:r w:rsidR="00CF1BCC" w:rsidRPr="00AD5DCE">
        <w:rPr>
          <w:rFonts w:eastAsiaTheme="majorEastAsia"/>
          <w:b/>
          <w:color w:val="0D0D0D" w:themeColor="text1" w:themeTint="F2"/>
        </w:rPr>
        <w:t xml:space="preserve"> </w:t>
      </w:r>
      <w:r w:rsidR="005B5D37" w:rsidRPr="00AD5DCE">
        <w:rPr>
          <w:rFonts w:eastAsiaTheme="majorEastAsia"/>
          <w:b/>
          <w:color w:val="0D0D0D" w:themeColor="text1" w:themeTint="F2"/>
        </w:rPr>
        <w:t xml:space="preserve">gene mutations and the </w:t>
      </w:r>
      <w:r w:rsidR="005B5D37" w:rsidRPr="00374D18">
        <w:rPr>
          <w:rFonts w:eastAsiaTheme="majorEastAsia"/>
          <w:b/>
          <w:i/>
          <w:iCs/>
          <w:color w:val="0D0D0D" w:themeColor="text1" w:themeTint="F2"/>
        </w:rPr>
        <w:t>SLC10A1</w:t>
      </w:r>
      <w:r w:rsidR="005B5D37" w:rsidRPr="00AD5DCE">
        <w:rPr>
          <w:rFonts w:eastAsiaTheme="majorEastAsia"/>
          <w:b/>
          <w:color w:val="0D0D0D" w:themeColor="text1" w:themeTint="F2"/>
        </w:rPr>
        <w:t xml:space="preserve"> gene</w:t>
      </w:r>
    </w:p>
    <w:p w14:paraId="3F21D710" w14:textId="4E3CC5D3" w:rsidR="00CF1BCC" w:rsidRPr="00AD5DCE" w:rsidRDefault="00556026" w:rsidP="00CF1BCC">
      <w:pPr>
        <w:spacing w:line="340" w:lineRule="exact"/>
        <w:ind w:firstLine="0"/>
        <w:rPr>
          <w:b/>
          <w:bCs/>
          <w:i/>
          <w:iCs/>
          <w:lang w:val="vi-VN"/>
        </w:rPr>
      </w:pPr>
      <w:r w:rsidRPr="00AD5DCE">
        <w:rPr>
          <w:b/>
          <w:bCs/>
          <w:i/>
          <w:iCs/>
        </w:rPr>
        <w:t>3</w:t>
      </w:r>
      <w:r w:rsidR="006422DE" w:rsidRPr="00AD5DCE">
        <w:rPr>
          <w:b/>
          <w:bCs/>
          <w:i/>
          <w:iCs/>
        </w:rPr>
        <w:t>.</w:t>
      </w:r>
      <w:r w:rsidRPr="00AD5DCE">
        <w:rPr>
          <w:b/>
          <w:bCs/>
          <w:i/>
          <w:iCs/>
        </w:rPr>
        <w:t>2</w:t>
      </w:r>
      <w:r w:rsidR="006422DE" w:rsidRPr="00AD5DCE">
        <w:rPr>
          <w:b/>
          <w:bCs/>
          <w:i/>
          <w:iCs/>
        </w:rPr>
        <w:t>.</w:t>
      </w:r>
      <w:r w:rsidRPr="00AD5DCE">
        <w:rPr>
          <w:b/>
          <w:bCs/>
          <w:i/>
          <w:iCs/>
        </w:rPr>
        <w:t>1</w:t>
      </w:r>
      <w:r w:rsidR="006422DE" w:rsidRPr="00AD5DCE">
        <w:rPr>
          <w:b/>
          <w:bCs/>
          <w:i/>
          <w:iCs/>
        </w:rPr>
        <w:t>.</w:t>
      </w:r>
      <w:r w:rsidRPr="00AD5DCE">
        <w:rPr>
          <w:b/>
          <w:bCs/>
          <w:i/>
          <w:iCs/>
        </w:rPr>
        <w:t xml:space="preserve"> </w:t>
      </w:r>
      <w:r w:rsidR="00CF1BCC" w:rsidRPr="00AD5DCE">
        <w:rPr>
          <w:b/>
          <w:bCs/>
          <w:i/>
          <w:iCs/>
        </w:rPr>
        <w:t xml:space="preserve">HBV </w:t>
      </w:r>
      <w:r w:rsidR="005B5D37" w:rsidRPr="00AD5DCE">
        <w:rPr>
          <w:b/>
          <w:bCs/>
          <w:i/>
          <w:iCs/>
        </w:rPr>
        <w:t>genotypes</w:t>
      </w:r>
      <w:r w:rsidR="00CF1BCC" w:rsidRPr="00AD5DCE">
        <w:rPr>
          <w:b/>
          <w:bCs/>
          <w:i/>
          <w:iCs/>
        </w:rPr>
        <w:t xml:space="preserve"> and </w:t>
      </w:r>
      <w:r w:rsidR="00EF225C">
        <w:rPr>
          <w:b/>
          <w:bCs/>
          <w:i/>
          <w:iCs/>
        </w:rPr>
        <w:t>preS</w:t>
      </w:r>
      <w:r w:rsidR="005B5D37" w:rsidRPr="005B5D37">
        <w:rPr>
          <w:b/>
          <w:bCs/>
          <w:i/>
          <w:iCs/>
        </w:rPr>
        <w:t>/S</w:t>
      </w:r>
      <w:r w:rsidR="00CF1BCC" w:rsidRPr="00AD5DCE">
        <w:rPr>
          <w:b/>
          <w:bCs/>
          <w:i/>
          <w:iCs/>
        </w:rPr>
        <w:t xml:space="preserve"> </w:t>
      </w:r>
      <w:r w:rsidR="005B5D37" w:rsidRPr="00AD5DCE">
        <w:rPr>
          <w:b/>
          <w:bCs/>
          <w:i/>
          <w:iCs/>
        </w:rPr>
        <w:t>gene mutations</w:t>
      </w:r>
    </w:p>
    <w:bookmarkEnd w:id="16"/>
    <w:p w14:paraId="63CFCD62" w14:textId="43E7A81E" w:rsidR="00556026" w:rsidRPr="00AD5DCE" w:rsidRDefault="00CF1BCC" w:rsidP="00CF1BCC">
      <w:pPr>
        <w:spacing w:line="340" w:lineRule="exact"/>
        <w:ind w:firstLine="0"/>
        <w:rPr>
          <w:color w:val="0D0D0D" w:themeColor="text1" w:themeTint="F2"/>
          <w:lang w:val="pt-BR"/>
        </w:rPr>
      </w:pPr>
      <w:r w:rsidRPr="00AD5DCE">
        <w:rPr>
          <w:b/>
          <w:bCs/>
          <w:color w:val="0D0D0D" w:themeColor="text1" w:themeTint="F2"/>
        </w:rPr>
        <w:lastRenderedPageBreak/>
        <w:t xml:space="preserve">Table 3.3. Distribution of HBV </w:t>
      </w:r>
      <w:r w:rsidR="005B5D37" w:rsidRPr="00AD5DCE">
        <w:rPr>
          <w:b/>
          <w:bCs/>
          <w:color w:val="0D0D0D" w:themeColor="text1" w:themeTint="F2"/>
        </w:rPr>
        <w:t>genotypes among disease groups</w:t>
      </w:r>
    </w:p>
    <w:tbl>
      <w:tblPr>
        <w:tblW w:w="62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86"/>
        <w:gridCol w:w="1268"/>
        <w:gridCol w:w="993"/>
        <w:gridCol w:w="1176"/>
        <w:gridCol w:w="1086"/>
        <w:gridCol w:w="595"/>
      </w:tblGrid>
      <w:tr w:rsidR="00CF1BCC" w:rsidRPr="00AD5DCE" w14:paraId="4DBE1002" w14:textId="77777777" w:rsidTr="00FE2DE9">
        <w:trPr>
          <w:trHeight w:val="585"/>
        </w:trPr>
        <w:tc>
          <w:tcPr>
            <w:tcW w:w="1086" w:type="dxa"/>
            <w:tcBorders>
              <w:bottom w:val="single" w:sz="4" w:space="0" w:color="auto"/>
            </w:tcBorders>
            <w:vAlign w:val="center"/>
          </w:tcPr>
          <w:p w14:paraId="36072402" w14:textId="5C4258E9" w:rsidR="00CF1BCC" w:rsidRPr="00AD5DCE" w:rsidRDefault="00CF1BCC" w:rsidP="00CF1BCC">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b/>
                <w:color w:val="0D0D0D" w:themeColor="text1" w:themeTint="F2"/>
              </w:rPr>
              <w:t>Genotype</w:t>
            </w:r>
          </w:p>
        </w:tc>
        <w:tc>
          <w:tcPr>
            <w:tcW w:w="1268" w:type="dxa"/>
          </w:tcPr>
          <w:p w14:paraId="2828CD12" w14:textId="77777777" w:rsidR="00CF1BCC" w:rsidRPr="00AD5DCE" w:rsidRDefault="00CF1BCC" w:rsidP="00CF1BCC">
            <w:pPr>
              <w:ind w:left="-110" w:right="-110" w:firstLine="0"/>
              <w:jc w:val="center"/>
              <w:rPr>
                <w:b/>
                <w:bCs/>
                <w:lang w:val="vi-VN"/>
              </w:rPr>
            </w:pPr>
            <w:r w:rsidRPr="00AD5DCE">
              <w:rPr>
                <w:b/>
                <w:bCs/>
              </w:rPr>
              <w:t xml:space="preserve">HCC </w:t>
            </w:r>
          </w:p>
          <w:p w14:paraId="404FF019" w14:textId="77777777" w:rsidR="00CF1BCC" w:rsidRPr="00AD5DCE" w:rsidRDefault="00CF1BCC" w:rsidP="00CF1BCC">
            <w:pPr>
              <w:ind w:left="-110" w:right="-110" w:firstLine="0"/>
              <w:jc w:val="center"/>
              <w:rPr>
                <w:lang w:val="vi-VN"/>
              </w:rPr>
            </w:pPr>
            <w:r w:rsidRPr="00AD5DCE">
              <w:t xml:space="preserve">(n=231) </w:t>
            </w:r>
          </w:p>
          <w:p w14:paraId="72E7EAA5" w14:textId="55BAD0A3" w:rsidR="00CF1BCC" w:rsidRPr="00AD5DCE" w:rsidRDefault="00CF1BCC" w:rsidP="00CF1BCC">
            <w:pPr>
              <w:widowControl w:val="0"/>
              <w:autoSpaceDE w:val="0"/>
              <w:autoSpaceDN w:val="0"/>
              <w:spacing w:line="240" w:lineRule="auto"/>
              <w:ind w:firstLine="0"/>
              <w:jc w:val="center"/>
              <w:rPr>
                <w:rFonts w:eastAsia="Times New Roman"/>
                <w:b/>
                <w:color w:val="0D0D0D" w:themeColor="text1" w:themeTint="F2"/>
              </w:rPr>
            </w:pPr>
            <w:r w:rsidRPr="00AD5DCE">
              <w:t>n (%)</w:t>
            </w:r>
          </w:p>
        </w:tc>
        <w:tc>
          <w:tcPr>
            <w:tcW w:w="993" w:type="dxa"/>
          </w:tcPr>
          <w:p w14:paraId="6E3B24E8" w14:textId="77777777" w:rsidR="00CF1BCC" w:rsidRPr="00AD5DCE" w:rsidRDefault="00CF1BCC" w:rsidP="00CF1BCC">
            <w:pPr>
              <w:ind w:left="-110" w:right="-160" w:firstLine="0"/>
              <w:jc w:val="center"/>
              <w:rPr>
                <w:b/>
                <w:bCs/>
                <w:lang w:val="vi-VN"/>
              </w:rPr>
            </w:pPr>
            <w:r w:rsidRPr="00AD5DCE">
              <w:rPr>
                <w:b/>
                <w:bCs/>
              </w:rPr>
              <w:t xml:space="preserve">LC </w:t>
            </w:r>
          </w:p>
          <w:p w14:paraId="59863A59" w14:textId="6E03CD18" w:rsidR="00CF1BCC" w:rsidRPr="00AD5DCE" w:rsidRDefault="00CF1BCC" w:rsidP="00CF1BCC">
            <w:pPr>
              <w:widowControl w:val="0"/>
              <w:autoSpaceDE w:val="0"/>
              <w:autoSpaceDN w:val="0"/>
              <w:spacing w:line="240" w:lineRule="auto"/>
              <w:ind w:firstLine="0"/>
              <w:jc w:val="center"/>
              <w:rPr>
                <w:rFonts w:eastAsia="Times New Roman"/>
                <w:b/>
                <w:color w:val="0D0D0D" w:themeColor="text1" w:themeTint="F2"/>
              </w:rPr>
            </w:pPr>
            <w:r w:rsidRPr="00AD5DCE">
              <w:t>(n=96) n (%)</w:t>
            </w:r>
          </w:p>
        </w:tc>
        <w:tc>
          <w:tcPr>
            <w:tcW w:w="1176" w:type="dxa"/>
          </w:tcPr>
          <w:p w14:paraId="3763DD98" w14:textId="77777777" w:rsidR="00CF1BCC" w:rsidRPr="00AD5DCE" w:rsidRDefault="00CF1BCC" w:rsidP="00CF1BCC">
            <w:pPr>
              <w:ind w:left="-110" w:right="-160" w:firstLine="0"/>
              <w:jc w:val="center"/>
              <w:rPr>
                <w:b/>
                <w:bCs/>
                <w:lang w:val="vi-VN"/>
              </w:rPr>
            </w:pPr>
            <w:r w:rsidRPr="00AD5DCE">
              <w:rPr>
                <w:b/>
                <w:bCs/>
              </w:rPr>
              <w:t xml:space="preserve">CHB </w:t>
            </w:r>
          </w:p>
          <w:p w14:paraId="046512CD" w14:textId="6D24C9F0" w:rsidR="00CF1BCC" w:rsidRPr="00AD5DCE" w:rsidRDefault="00CF1BCC" w:rsidP="00CF1BCC">
            <w:pPr>
              <w:ind w:left="-110" w:right="-160" w:firstLine="0"/>
              <w:jc w:val="center"/>
              <w:rPr>
                <w:lang w:val="vi-VN"/>
              </w:rPr>
            </w:pPr>
            <w:r w:rsidRPr="00AD5DCE">
              <w:t xml:space="preserve">(n=102) </w:t>
            </w:r>
          </w:p>
          <w:p w14:paraId="18DF4A35" w14:textId="348F00F7" w:rsidR="00CF1BCC" w:rsidRPr="00AD5DCE" w:rsidRDefault="00CF1BCC" w:rsidP="00CF1BCC">
            <w:pPr>
              <w:widowControl w:val="0"/>
              <w:autoSpaceDE w:val="0"/>
              <w:autoSpaceDN w:val="0"/>
              <w:spacing w:line="240" w:lineRule="auto"/>
              <w:ind w:firstLine="0"/>
              <w:jc w:val="center"/>
              <w:rPr>
                <w:rFonts w:eastAsia="Times New Roman"/>
                <w:b/>
                <w:color w:val="0D0D0D" w:themeColor="text1" w:themeTint="F2"/>
              </w:rPr>
            </w:pPr>
            <w:r w:rsidRPr="00AD5DCE">
              <w:t>n (%)</w:t>
            </w:r>
          </w:p>
        </w:tc>
        <w:tc>
          <w:tcPr>
            <w:tcW w:w="1086" w:type="dxa"/>
            <w:tcBorders>
              <w:bottom w:val="single" w:sz="4" w:space="0" w:color="auto"/>
            </w:tcBorders>
            <w:vAlign w:val="center"/>
          </w:tcPr>
          <w:p w14:paraId="492E93D8" w14:textId="76C12DD5" w:rsidR="00CF1BCC" w:rsidRPr="00AD5DCE" w:rsidRDefault="00CF1BCC" w:rsidP="00CF1BCC">
            <w:pPr>
              <w:widowControl w:val="0"/>
              <w:autoSpaceDE w:val="0"/>
              <w:autoSpaceDN w:val="0"/>
              <w:spacing w:line="240" w:lineRule="auto"/>
              <w:ind w:firstLine="0"/>
              <w:jc w:val="center"/>
              <w:rPr>
                <w:rFonts w:eastAsia="Times New Roman"/>
                <w:b/>
                <w:color w:val="0D0D0D" w:themeColor="text1" w:themeTint="F2"/>
                <w:position w:val="-8"/>
              </w:rPr>
            </w:pPr>
            <w:r w:rsidRPr="00AD5DCE">
              <w:rPr>
                <w:rFonts w:eastAsia="Times New Roman"/>
                <w:b/>
                <w:color w:val="0D0D0D" w:themeColor="text1" w:themeTint="F2"/>
                <w:position w:val="-8"/>
              </w:rPr>
              <w:t>Total</w:t>
            </w:r>
          </w:p>
          <w:p w14:paraId="1AEA9A7A" w14:textId="77777777" w:rsidR="00CF1BCC" w:rsidRPr="00AD5DCE" w:rsidRDefault="00CF1BCC" w:rsidP="00CF1BCC">
            <w:pPr>
              <w:widowControl w:val="0"/>
              <w:autoSpaceDE w:val="0"/>
              <w:autoSpaceDN w:val="0"/>
              <w:spacing w:line="240" w:lineRule="auto"/>
              <w:ind w:firstLine="0"/>
              <w:jc w:val="center"/>
              <w:rPr>
                <w:rFonts w:eastAsia="MS Mincho"/>
                <w:b/>
                <w:color w:val="0D0D0D" w:themeColor="text1" w:themeTint="F2"/>
              </w:rPr>
            </w:pPr>
            <w:r w:rsidRPr="00AD5DCE">
              <w:rPr>
                <w:rFonts w:eastAsia="MS Mincho"/>
                <w:b/>
                <w:color w:val="0D0D0D" w:themeColor="text1" w:themeTint="F2"/>
              </w:rPr>
              <w:t>(n=273)</w:t>
            </w:r>
          </w:p>
          <w:p w14:paraId="353503C0" w14:textId="77777777" w:rsidR="00CF1BCC" w:rsidRPr="00AD5DCE" w:rsidRDefault="00CF1BCC" w:rsidP="00CF1BCC">
            <w:pPr>
              <w:widowControl w:val="0"/>
              <w:autoSpaceDE w:val="0"/>
              <w:autoSpaceDN w:val="0"/>
              <w:spacing w:line="240" w:lineRule="auto"/>
              <w:ind w:firstLine="0"/>
              <w:jc w:val="center"/>
              <w:rPr>
                <w:rFonts w:eastAsia="Times New Roman"/>
                <w:bCs/>
                <w:color w:val="0D0D0D" w:themeColor="text1" w:themeTint="F2"/>
                <w:position w:val="-8"/>
              </w:rPr>
            </w:pPr>
            <w:r w:rsidRPr="00AD5DCE">
              <w:rPr>
                <w:rFonts w:eastAsia="Times New Roman"/>
                <w:bCs/>
                <w:color w:val="0D0D0D" w:themeColor="text1" w:themeTint="F2"/>
                <w:position w:val="-8"/>
              </w:rPr>
              <w:t>n (%)</w:t>
            </w:r>
          </w:p>
        </w:tc>
        <w:tc>
          <w:tcPr>
            <w:tcW w:w="595" w:type="dxa"/>
            <w:tcBorders>
              <w:bottom w:val="single" w:sz="4" w:space="0" w:color="auto"/>
            </w:tcBorders>
            <w:vAlign w:val="center"/>
          </w:tcPr>
          <w:p w14:paraId="4DDDB6E3" w14:textId="77777777" w:rsidR="00CF1BCC" w:rsidRPr="00AD5DCE" w:rsidRDefault="00CF1BCC" w:rsidP="00CF1BCC">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b/>
                <w:color w:val="0D0D0D" w:themeColor="text1" w:themeTint="F2"/>
                <w:position w:val="-8"/>
              </w:rPr>
              <w:t>p</w:t>
            </w:r>
          </w:p>
        </w:tc>
      </w:tr>
      <w:tr w:rsidR="00556026" w:rsidRPr="00AD5DCE" w14:paraId="1D7C9895" w14:textId="77777777" w:rsidTr="00FF3FFF">
        <w:trPr>
          <w:trHeight w:val="313"/>
        </w:trPr>
        <w:tc>
          <w:tcPr>
            <w:tcW w:w="1086" w:type="dxa"/>
            <w:tcBorders>
              <w:top w:val="single" w:sz="4" w:space="0" w:color="auto"/>
            </w:tcBorders>
            <w:vAlign w:val="center"/>
          </w:tcPr>
          <w:p w14:paraId="0F790C00" w14:textId="7777777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B</w:t>
            </w:r>
          </w:p>
        </w:tc>
        <w:tc>
          <w:tcPr>
            <w:tcW w:w="1268" w:type="dxa"/>
            <w:tcBorders>
              <w:top w:val="single" w:sz="4" w:space="0" w:color="auto"/>
              <w:right w:val="single" w:sz="4" w:space="0" w:color="auto"/>
            </w:tcBorders>
            <w:vAlign w:val="center"/>
          </w:tcPr>
          <w:p w14:paraId="31CE055D" w14:textId="0C0DCCFD"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color w:val="0D0D0D" w:themeColor="text1" w:themeTint="F2"/>
              </w:rPr>
              <w:t>63 (70</w:t>
            </w:r>
            <w:r w:rsidR="006422DE" w:rsidRPr="00AD5DCE">
              <w:rPr>
                <w:rFonts w:eastAsia="Times New Roman"/>
                <w:color w:val="0D0D0D" w:themeColor="text1" w:themeTint="F2"/>
              </w:rPr>
              <w:t>.</w:t>
            </w:r>
            <w:r w:rsidRPr="00AD5DCE">
              <w:rPr>
                <w:rFonts w:eastAsia="Times New Roman"/>
                <w:color w:val="0D0D0D" w:themeColor="text1" w:themeTint="F2"/>
              </w:rPr>
              <w:t>0)</w:t>
            </w:r>
          </w:p>
        </w:tc>
        <w:tc>
          <w:tcPr>
            <w:tcW w:w="993" w:type="dxa"/>
            <w:tcBorders>
              <w:top w:val="single" w:sz="4" w:space="0" w:color="auto"/>
              <w:left w:val="single" w:sz="4" w:space="0" w:color="auto"/>
              <w:right w:val="single" w:sz="4" w:space="0" w:color="auto"/>
            </w:tcBorders>
            <w:vAlign w:val="center"/>
          </w:tcPr>
          <w:p w14:paraId="47B07E73" w14:textId="5D34BA7E"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color w:val="0D0D0D" w:themeColor="text1" w:themeTint="F2"/>
              </w:rPr>
              <w:t>53 (62</w:t>
            </w:r>
            <w:r w:rsidR="006422DE" w:rsidRPr="00AD5DCE">
              <w:rPr>
                <w:rFonts w:eastAsia="Times New Roman"/>
                <w:color w:val="0D0D0D" w:themeColor="text1" w:themeTint="F2"/>
              </w:rPr>
              <w:t>.</w:t>
            </w:r>
            <w:r w:rsidRPr="00AD5DCE">
              <w:rPr>
                <w:rFonts w:eastAsia="Times New Roman"/>
                <w:color w:val="0D0D0D" w:themeColor="text1" w:themeTint="F2"/>
              </w:rPr>
              <w:t>4)</w:t>
            </w:r>
          </w:p>
        </w:tc>
        <w:tc>
          <w:tcPr>
            <w:tcW w:w="1176" w:type="dxa"/>
            <w:tcBorders>
              <w:top w:val="single" w:sz="4" w:space="0" w:color="auto"/>
              <w:left w:val="single" w:sz="4" w:space="0" w:color="auto"/>
              <w:right w:val="single" w:sz="4" w:space="0" w:color="auto"/>
            </w:tcBorders>
            <w:vAlign w:val="center"/>
          </w:tcPr>
          <w:p w14:paraId="58EFEE6C" w14:textId="10C2E811"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color w:val="0D0D0D" w:themeColor="text1" w:themeTint="F2"/>
              </w:rPr>
              <w:t>75 (76</w:t>
            </w:r>
            <w:r w:rsidR="006422DE" w:rsidRPr="00AD5DCE">
              <w:rPr>
                <w:rFonts w:eastAsia="Times New Roman"/>
                <w:color w:val="0D0D0D" w:themeColor="text1" w:themeTint="F2"/>
              </w:rPr>
              <w:t>.</w:t>
            </w:r>
            <w:r w:rsidRPr="00AD5DCE">
              <w:rPr>
                <w:rFonts w:eastAsia="Times New Roman"/>
                <w:color w:val="0D0D0D" w:themeColor="text1" w:themeTint="F2"/>
              </w:rPr>
              <w:t>5)</w:t>
            </w:r>
          </w:p>
        </w:tc>
        <w:tc>
          <w:tcPr>
            <w:tcW w:w="1086" w:type="dxa"/>
            <w:tcBorders>
              <w:top w:val="single" w:sz="4" w:space="0" w:color="auto"/>
              <w:left w:val="single" w:sz="4" w:space="0" w:color="auto"/>
              <w:right w:val="single" w:sz="4" w:space="0" w:color="auto"/>
            </w:tcBorders>
            <w:vAlign w:val="center"/>
          </w:tcPr>
          <w:p w14:paraId="079A8D9D" w14:textId="5BA448F5"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color w:val="0D0D0D" w:themeColor="text1" w:themeTint="F2"/>
              </w:rPr>
              <w:t>191 (70</w:t>
            </w:r>
            <w:r w:rsidR="006422DE" w:rsidRPr="00AD5DCE">
              <w:rPr>
                <w:rFonts w:eastAsia="MS Mincho"/>
                <w:color w:val="0D0D0D" w:themeColor="text1" w:themeTint="F2"/>
              </w:rPr>
              <w:t>.</w:t>
            </w:r>
            <w:r w:rsidRPr="00AD5DCE">
              <w:rPr>
                <w:rFonts w:eastAsia="MS Mincho"/>
                <w:color w:val="0D0D0D" w:themeColor="text1" w:themeTint="F2"/>
              </w:rPr>
              <w:t>0</w:t>
            </w:r>
            <w:r w:rsidRPr="00AD5DCE">
              <w:rPr>
                <w:color w:val="0D0D0D" w:themeColor="text1" w:themeTint="F2"/>
              </w:rPr>
              <w:t>)</w:t>
            </w:r>
          </w:p>
        </w:tc>
        <w:tc>
          <w:tcPr>
            <w:tcW w:w="595" w:type="dxa"/>
            <w:vMerge w:val="restart"/>
            <w:tcBorders>
              <w:top w:val="single" w:sz="4" w:space="0" w:color="auto"/>
              <w:left w:val="single" w:sz="4" w:space="0" w:color="auto"/>
            </w:tcBorders>
            <w:vAlign w:val="center"/>
          </w:tcPr>
          <w:p w14:paraId="4F37747C" w14:textId="4D20433A"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0</w:t>
            </w:r>
            <w:r w:rsidR="006422DE" w:rsidRPr="00AD5DCE">
              <w:rPr>
                <w:rFonts w:eastAsia="Times New Roman"/>
                <w:color w:val="0D0D0D" w:themeColor="text1" w:themeTint="F2"/>
              </w:rPr>
              <w:t>.</w:t>
            </w:r>
            <w:r w:rsidRPr="00AD5DCE">
              <w:rPr>
                <w:rFonts w:eastAsia="Times New Roman"/>
                <w:color w:val="0D0D0D" w:themeColor="text1" w:themeTint="F2"/>
              </w:rPr>
              <w:t>068</w:t>
            </w:r>
          </w:p>
        </w:tc>
      </w:tr>
      <w:tr w:rsidR="00556026" w:rsidRPr="00AD5DCE" w14:paraId="39EA0713" w14:textId="77777777" w:rsidTr="00FF3FFF">
        <w:trPr>
          <w:trHeight w:val="322"/>
        </w:trPr>
        <w:tc>
          <w:tcPr>
            <w:tcW w:w="1086" w:type="dxa"/>
            <w:vAlign w:val="center"/>
          </w:tcPr>
          <w:p w14:paraId="4FF6564F" w14:textId="7777777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C</w:t>
            </w:r>
          </w:p>
        </w:tc>
        <w:tc>
          <w:tcPr>
            <w:tcW w:w="1268" w:type="dxa"/>
            <w:vAlign w:val="center"/>
          </w:tcPr>
          <w:p w14:paraId="3859E7CC" w14:textId="00C07F8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25 (27</w:t>
            </w:r>
            <w:r w:rsidR="006422DE" w:rsidRPr="00AD5DCE">
              <w:rPr>
                <w:rFonts w:eastAsia="Times New Roman"/>
                <w:color w:val="0D0D0D" w:themeColor="text1" w:themeTint="F2"/>
              </w:rPr>
              <w:t>.</w:t>
            </w:r>
            <w:r w:rsidRPr="00AD5DCE">
              <w:rPr>
                <w:rFonts w:eastAsia="Times New Roman"/>
                <w:color w:val="0D0D0D" w:themeColor="text1" w:themeTint="F2"/>
              </w:rPr>
              <w:t>8)</w:t>
            </w:r>
          </w:p>
        </w:tc>
        <w:tc>
          <w:tcPr>
            <w:tcW w:w="993" w:type="dxa"/>
            <w:vAlign w:val="center"/>
          </w:tcPr>
          <w:p w14:paraId="6C1E4171" w14:textId="5026A36B"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color w:val="0D0D0D" w:themeColor="text1" w:themeTint="F2"/>
              </w:rPr>
              <w:t>31 (36</w:t>
            </w:r>
            <w:r w:rsidR="006422DE" w:rsidRPr="00AD5DCE">
              <w:rPr>
                <w:rFonts w:eastAsia="Times New Roman"/>
                <w:color w:val="0D0D0D" w:themeColor="text1" w:themeTint="F2"/>
              </w:rPr>
              <w:t>.</w:t>
            </w:r>
            <w:r w:rsidRPr="00AD5DCE">
              <w:rPr>
                <w:rFonts w:eastAsia="Times New Roman"/>
                <w:color w:val="0D0D0D" w:themeColor="text1" w:themeTint="F2"/>
              </w:rPr>
              <w:t>5)</w:t>
            </w:r>
          </w:p>
        </w:tc>
        <w:tc>
          <w:tcPr>
            <w:tcW w:w="1176" w:type="dxa"/>
            <w:tcBorders>
              <w:right w:val="single" w:sz="4" w:space="0" w:color="auto"/>
            </w:tcBorders>
            <w:vAlign w:val="center"/>
          </w:tcPr>
          <w:p w14:paraId="5FC17F10" w14:textId="51D35649"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21 (21</w:t>
            </w:r>
            <w:r w:rsidR="006422DE" w:rsidRPr="00AD5DCE">
              <w:rPr>
                <w:rFonts w:eastAsia="Times New Roman"/>
                <w:color w:val="0D0D0D" w:themeColor="text1" w:themeTint="F2"/>
              </w:rPr>
              <w:t>.</w:t>
            </w:r>
            <w:r w:rsidRPr="00AD5DCE">
              <w:rPr>
                <w:rFonts w:eastAsia="Times New Roman"/>
                <w:color w:val="0D0D0D" w:themeColor="text1" w:themeTint="F2"/>
              </w:rPr>
              <w:t>4)</w:t>
            </w:r>
          </w:p>
        </w:tc>
        <w:tc>
          <w:tcPr>
            <w:tcW w:w="1086" w:type="dxa"/>
            <w:tcBorders>
              <w:right w:val="single" w:sz="4" w:space="0" w:color="auto"/>
            </w:tcBorders>
            <w:vAlign w:val="center"/>
          </w:tcPr>
          <w:p w14:paraId="1D348220" w14:textId="6BDC6F6F"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color w:val="0D0D0D" w:themeColor="text1" w:themeTint="F2"/>
              </w:rPr>
              <w:t>77 (28</w:t>
            </w:r>
            <w:r w:rsidR="006422DE" w:rsidRPr="00AD5DCE">
              <w:rPr>
                <w:color w:val="0D0D0D" w:themeColor="text1" w:themeTint="F2"/>
              </w:rPr>
              <w:t>.</w:t>
            </w:r>
            <w:r w:rsidRPr="00AD5DCE">
              <w:rPr>
                <w:color w:val="0D0D0D" w:themeColor="text1" w:themeTint="F2"/>
              </w:rPr>
              <w:t>2)</w:t>
            </w:r>
          </w:p>
        </w:tc>
        <w:tc>
          <w:tcPr>
            <w:tcW w:w="595" w:type="dxa"/>
            <w:vMerge/>
            <w:tcBorders>
              <w:left w:val="single" w:sz="4" w:space="0" w:color="auto"/>
            </w:tcBorders>
            <w:vAlign w:val="center"/>
          </w:tcPr>
          <w:p w14:paraId="0270BC07" w14:textId="7777777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p>
        </w:tc>
      </w:tr>
      <w:tr w:rsidR="00556026" w:rsidRPr="00AD5DCE" w14:paraId="1BF05C2C" w14:textId="77777777" w:rsidTr="00FF3FFF">
        <w:trPr>
          <w:trHeight w:val="322"/>
        </w:trPr>
        <w:tc>
          <w:tcPr>
            <w:tcW w:w="1086" w:type="dxa"/>
            <w:vAlign w:val="center"/>
          </w:tcPr>
          <w:p w14:paraId="621E3606" w14:textId="7777777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D</w:t>
            </w:r>
          </w:p>
        </w:tc>
        <w:tc>
          <w:tcPr>
            <w:tcW w:w="1268" w:type="dxa"/>
            <w:vAlign w:val="center"/>
          </w:tcPr>
          <w:p w14:paraId="3C0B7805" w14:textId="1802E44C"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0 (0</w:t>
            </w:r>
            <w:r w:rsidR="006422DE" w:rsidRPr="00AD5DCE">
              <w:rPr>
                <w:rFonts w:eastAsia="Times New Roman"/>
                <w:color w:val="0D0D0D" w:themeColor="text1" w:themeTint="F2"/>
              </w:rPr>
              <w:t>.</w:t>
            </w:r>
            <w:r w:rsidRPr="00AD5DCE">
              <w:rPr>
                <w:rFonts w:eastAsia="Times New Roman"/>
                <w:color w:val="0D0D0D" w:themeColor="text1" w:themeTint="F2"/>
              </w:rPr>
              <w:t>0)</w:t>
            </w:r>
          </w:p>
        </w:tc>
        <w:tc>
          <w:tcPr>
            <w:tcW w:w="993" w:type="dxa"/>
            <w:vAlign w:val="center"/>
          </w:tcPr>
          <w:p w14:paraId="1F082A9D" w14:textId="1E077CDA"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color w:val="0D0D0D" w:themeColor="text1" w:themeTint="F2"/>
              </w:rPr>
              <w:t>0 (0</w:t>
            </w:r>
            <w:r w:rsidR="006422DE" w:rsidRPr="00AD5DCE">
              <w:rPr>
                <w:rFonts w:eastAsia="Times New Roman"/>
                <w:color w:val="0D0D0D" w:themeColor="text1" w:themeTint="F2"/>
              </w:rPr>
              <w:t>.</w:t>
            </w:r>
            <w:r w:rsidRPr="00AD5DCE">
              <w:rPr>
                <w:rFonts w:eastAsia="Times New Roman"/>
                <w:color w:val="0D0D0D" w:themeColor="text1" w:themeTint="F2"/>
              </w:rPr>
              <w:t>0)</w:t>
            </w:r>
          </w:p>
        </w:tc>
        <w:tc>
          <w:tcPr>
            <w:tcW w:w="1176" w:type="dxa"/>
            <w:tcBorders>
              <w:right w:val="single" w:sz="4" w:space="0" w:color="auto"/>
            </w:tcBorders>
            <w:vAlign w:val="center"/>
          </w:tcPr>
          <w:p w14:paraId="175797DD" w14:textId="572FC111"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2 (2</w:t>
            </w:r>
            <w:r w:rsidR="006422DE" w:rsidRPr="00AD5DCE">
              <w:rPr>
                <w:rFonts w:eastAsia="Times New Roman"/>
                <w:color w:val="0D0D0D" w:themeColor="text1" w:themeTint="F2"/>
              </w:rPr>
              <w:t>.</w:t>
            </w:r>
            <w:r w:rsidRPr="00AD5DCE">
              <w:rPr>
                <w:rFonts w:eastAsia="Times New Roman"/>
                <w:color w:val="0D0D0D" w:themeColor="text1" w:themeTint="F2"/>
              </w:rPr>
              <w:t>1)</w:t>
            </w:r>
          </w:p>
        </w:tc>
        <w:tc>
          <w:tcPr>
            <w:tcW w:w="1086" w:type="dxa"/>
            <w:tcBorders>
              <w:right w:val="single" w:sz="4" w:space="0" w:color="auto"/>
            </w:tcBorders>
            <w:vAlign w:val="center"/>
          </w:tcPr>
          <w:p w14:paraId="1669B010" w14:textId="6E9F784B"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color w:val="0D0D0D" w:themeColor="text1" w:themeTint="F2"/>
              </w:rPr>
              <w:t>2 (0</w:t>
            </w:r>
            <w:r w:rsidR="006422DE" w:rsidRPr="00AD5DCE">
              <w:rPr>
                <w:color w:val="0D0D0D" w:themeColor="text1" w:themeTint="F2"/>
              </w:rPr>
              <w:t>.</w:t>
            </w:r>
            <w:r w:rsidRPr="00AD5DCE">
              <w:rPr>
                <w:color w:val="0D0D0D" w:themeColor="text1" w:themeTint="F2"/>
              </w:rPr>
              <w:t>7)</w:t>
            </w:r>
          </w:p>
        </w:tc>
        <w:tc>
          <w:tcPr>
            <w:tcW w:w="595" w:type="dxa"/>
            <w:vMerge/>
            <w:tcBorders>
              <w:left w:val="single" w:sz="4" w:space="0" w:color="auto"/>
            </w:tcBorders>
            <w:vAlign w:val="center"/>
          </w:tcPr>
          <w:p w14:paraId="6F9400D2" w14:textId="7777777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p>
        </w:tc>
      </w:tr>
      <w:tr w:rsidR="00556026" w:rsidRPr="00AD5DCE" w14:paraId="6CC85CF6" w14:textId="77777777" w:rsidTr="00FF3FFF">
        <w:trPr>
          <w:trHeight w:val="322"/>
        </w:trPr>
        <w:tc>
          <w:tcPr>
            <w:tcW w:w="1086" w:type="dxa"/>
            <w:vAlign w:val="center"/>
          </w:tcPr>
          <w:p w14:paraId="6F0CBC67" w14:textId="7777777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I</w:t>
            </w:r>
          </w:p>
        </w:tc>
        <w:tc>
          <w:tcPr>
            <w:tcW w:w="1268" w:type="dxa"/>
            <w:vAlign w:val="center"/>
          </w:tcPr>
          <w:p w14:paraId="56A4B301" w14:textId="29C4BA2A"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2 (2</w:t>
            </w:r>
            <w:r w:rsidR="006422DE" w:rsidRPr="00AD5DCE">
              <w:rPr>
                <w:rFonts w:eastAsia="Times New Roman"/>
                <w:color w:val="0D0D0D" w:themeColor="text1" w:themeTint="F2"/>
              </w:rPr>
              <w:t>.</w:t>
            </w:r>
            <w:r w:rsidRPr="00AD5DCE">
              <w:rPr>
                <w:rFonts w:eastAsia="Times New Roman"/>
                <w:color w:val="0D0D0D" w:themeColor="text1" w:themeTint="F2"/>
              </w:rPr>
              <w:t>2)</w:t>
            </w:r>
          </w:p>
        </w:tc>
        <w:tc>
          <w:tcPr>
            <w:tcW w:w="993" w:type="dxa"/>
            <w:vAlign w:val="center"/>
          </w:tcPr>
          <w:p w14:paraId="0774034F" w14:textId="165F565D"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1 (1</w:t>
            </w:r>
            <w:r w:rsidR="006422DE" w:rsidRPr="00AD5DCE">
              <w:rPr>
                <w:rFonts w:eastAsia="Times New Roman"/>
                <w:color w:val="0D0D0D" w:themeColor="text1" w:themeTint="F2"/>
              </w:rPr>
              <w:t>.</w:t>
            </w:r>
            <w:r w:rsidRPr="00AD5DCE">
              <w:rPr>
                <w:rFonts w:eastAsia="Times New Roman"/>
                <w:color w:val="0D0D0D" w:themeColor="text1" w:themeTint="F2"/>
              </w:rPr>
              <w:t>1)</w:t>
            </w:r>
          </w:p>
        </w:tc>
        <w:tc>
          <w:tcPr>
            <w:tcW w:w="1176" w:type="dxa"/>
            <w:tcBorders>
              <w:right w:val="single" w:sz="4" w:space="0" w:color="auto"/>
            </w:tcBorders>
            <w:vAlign w:val="center"/>
          </w:tcPr>
          <w:p w14:paraId="08AFAE4B" w14:textId="0423A67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0 (0</w:t>
            </w:r>
            <w:r w:rsidR="006422DE" w:rsidRPr="00AD5DCE">
              <w:rPr>
                <w:rFonts w:eastAsia="Times New Roman"/>
                <w:color w:val="0D0D0D" w:themeColor="text1" w:themeTint="F2"/>
              </w:rPr>
              <w:t>.</w:t>
            </w:r>
            <w:r w:rsidRPr="00AD5DCE">
              <w:rPr>
                <w:rFonts w:eastAsia="Times New Roman"/>
                <w:color w:val="0D0D0D" w:themeColor="text1" w:themeTint="F2"/>
              </w:rPr>
              <w:t>0)</w:t>
            </w:r>
          </w:p>
        </w:tc>
        <w:tc>
          <w:tcPr>
            <w:tcW w:w="1086" w:type="dxa"/>
            <w:tcBorders>
              <w:right w:val="single" w:sz="4" w:space="0" w:color="auto"/>
            </w:tcBorders>
            <w:vAlign w:val="center"/>
          </w:tcPr>
          <w:p w14:paraId="56BE1663" w14:textId="69E664D2"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color w:val="0D0D0D" w:themeColor="text1" w:themeTint="F2"/>
              </w:rPr>
              <w:t>3 (1</w:t>
            </w:r>
            <w:r w:rsidR="006422DE" w:rsidRPr="00AD5DCE">
              <w:rPr>
                <w:color w:val="0D0D0D" w:themeColor="text1" w:themeTint="F2"/>
              </w:rPr>
              <w:t>.</w:t>
            </w:r>
            <w:r w:rsidRPr="00AD5DCE">
              <w:rPr>
                <w:color w:val="0D0D0D" w:themeColor="text1" w:themeTint="F2"/>
              </w:rPr>
              <w:t>1)</w:t>
            </w:r>
          </w:p>
        </w:tc>
        <w:tc>
          <w:tcPr>
            <w:tcW w:w="595" w:type="dxa"/>
            <w:vMerge/>
            <w:tcBorders>
              <w:left w:val="single" w:sz="4" w:space="0" w:color="auto"/>
            </w:tcBorders>
            <w:vAlign w:val="center"/>
          </w:tcPr>
          <w:p w14:paraId="556DB512" w14:textId="7777777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p>
        </w:tc>
      </w:tr>
      <w:tr w:rsidR="00556026" w:rsidRPr="00AD5DCE" w14:paraId="4B8EE512" w14:textId="77777777" w:rsidTr="00FF3FFF">
        <w:trPr>
          <w:trHeight w:val="320"/>
        </w:trPr>
        <w:tc>
          <w:tcPr>
            <w:tcW w:w="1086" w:type="dxa"/>
            <w:vAlign w:val="center"/>
          </w:tcPr>
          <w:p w14:paraId="5DA33902" w14:textId="081BB52B" w:rsidR="00556026" w:rsidRPr="00AD5DCE" w:rsidRDefault="00CF1BCC" w:rsidP="00CF1BCC">
            <w:pPr>
              <w:widowControl w:val="0"/>
              <w:autoSpaceDE w:val="0"/>
              <w:autoSpaceDN w:val="0"/>
              <w:spacing w:line="240" w:lineRule="auto"/>
              <w:ind w:firstLine="0"/>
              <w:jc w:val="center"/>
              <w:rPr>
                <w:rFonts w:eastAsia="Times New Roman"/>
                <w:b/>
                <w:color w:val="0D0D0D" w:themeColor="text1" w:themeTint="F2"/>
                <w:position w:val="-8"/>
                <w:lang w:val="vi-VN"/>
              </w:rPr>
            </w:pPr>
            <w:r w:rsidRPr="00AD5DCE">
              <w:rPr>
                <w:rFonts w:eastAsia="Times New Roman"/>
                <w:b/>
                <w:color w:val="0D0D0D" w:themeColor="text1" w:themeTint="F2"/>
                <w:position w:val="-8"/>
              </w:rPr>
              <w:t>Total</w:t>
            </w:r>
          </w:p>
        </w:tc>
        <w:tc>
          <w:tcPr>
            <w:tcW w:w="1268" w:type="dxa"/>
            <w:vAlign w:val="center"/>
          </w:tcPr>
          <w:p w14:paraId="59CEF471" w14:textId="691885C3"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90 (100</w:t>
            </w:r>
            <w:r w:rsidR="006422DE" w:rsidRPr="00AD5DCE">
              <w:rPr>
                <w:rFonts w:eastAsia="Times New Roman"/>
                <w:color w:val="0D0D0D" w:themeColor="text1" w:themeTint="F2"/>
              </w:rPr>
              <w:t>.</w:t>
            </w:r>
            <w:r w:rsidRPr="00AD5DCE">
              <w:rPr>
                <w:rFonts w:eastAsia="Times New Roman"/>
                <w:color w:val="0D0D0D" w:themeColor="text1" w:themeTint="F2"/>
              </w:rPr>
              <w:t>0)</w:t>
            </w:r>
          </w:p>
        </w:tc>
        <w:tc>
          <w:tcPr>
            <w:tcW w:w="993" w:type="dxa"/>
            <w:vAlign w:val="center"/>
          </w:tcPr>
          <w:p w14:paraId="73847069" w14:textId="122814E7"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85 (100</w:t>
            </w:r>
            <w:r w:rsidR="006422DE" w:rsidRPr="00AD5DCE">
              <w:rPr>
                <w:rFonts w:eastAsia="Times New Roman"/>
                <w:color w:val="0D0D0D" w:themeColor="text1" w:themeTint="F2"/>
              </w:rPr>
              <w:t>.</w:t>
            </w:r>
            <w:r w:rsidRPr="00AD5DCE">
              <w:rPr>
                <w:rFonts w:eastAsia="Times New Roman"/>
                <w:color w:val="0D0D0D" w:themeColor="text1" w:themeTint="F2"/>
              </w:rPr>
              <w:t>0)</w:t>
            </w:r>
          </w:p>
        </w:tc>
        <w:tc>
          <w:tcPr>
            <w:tcW w:w="1176" w:type="dxa"/>
            <w:tcBorders>
              <w:right w:val="single" w:sz="4" w:space="0" w:color="auto"/>
            </w:tcBorders>
            <w:vAlign w:val="center"/>
          </w:tcPr>
          <w:p w14:paraId="3AD9526C" w14:textId="46A208F3" w:rsidR="00556026" w:rsidRPr="00AD5DCE" w:rsidRDefault="00556026" w:rsidP="00FF3FFF">
            <w:pPr>
              <w:widowControl w:val="0"/>
              <w:autoSpaceDE w:val="0"/>
              <w:autoSpaceDN w:val="0"/>
              <w:spacing w:line="240" w:lineRule="auto"/>
              <w:ind w:firstLine="0"/>
              <w:jc w:val="center"/>
              <w:rPr>
                <w:rFonts w:eastAsia="Times New Roman"/>
                <w:color w:val="0D0D0D" w:themeColor="text1" w:themeTint="F2"/>
              </w:rPr>
            </w:pPr>
            <w:r w:rsidRPr="00AD5DCE">
              <w:rPr>
                <w:rFonts w:eastAsia="Times New Roman"/>
                <w:color w:val="0D0D0D" w:themeColor="text1" w:themeTint="F2"/>
              </w:rPr>
              <w:t>98 (100</w:t>
            </w:r>
            <w:r w:rsidR="006422DE" w:rsidRPr="00AD5DCE">
              <w:rPr>
                <w:rFonts w:eastAsia="Times New Roman"/>
                <w:color w:val="0D0D0D" w:themeColor="text1" w:themeTint="F2"/>
              </w:rPr>
              <w:t>.</w:t>
            </w:r>
            <w:r w:rsidRPr="00AD5DCE">
              <w:rPr>
                <w:rFonts w:eastAsia="Times New Roman"/>
                <w:color w:val="0D0D0D" w:themeColor="text1" w:themeTint="F2"/>
              </w:rPr>
              <w:t>0)</w:t>
            </w:r>
          </w:p>
        </w:tc>
        <w:tc>
          <w:tcPr>
            <w:tcW w:w="1086" w:type="dxa"/>
            <w:tcBorders>
              <w:right w:val="single" w:sz="4" w:space="0" w:color="auto"/>
            </w:tcBorders>
            <w:vAlign w:val="center"/>
          </w:tcPr>
          <w:p w14:paraId="3E3BD0D3" w14:textId="77777777" w:rsidR="00556026" w:rsidRPr="00AD5DCE" w:rsidRDefault="00556026" w:rsidP="00FF3FFF">
            <w:pPr>
              <w:keepNext/>
              <w:widowControl w:val="0"/>
              <w:autoSpaceDE w:val="0"/>
              <w:autoSpaceDN w:val="0"/>
              <w:spacing w:line="240" w:lineRule="auto"/>
              <w:ind w:firstLine="0"/>
              <w:jc w:val="center"/>
              <w:rPr>
                <w:rFonts w:eastAsia="Times New Roman"/>
                <w:color w:val="0D0D0D" w:themeColor="text1" w:themeTint="F2"/>
              </w:rPr>
            </w:pPr>
            <w:r w:rsidRPr="00AD5DCE">
              <w:rPr>
                <w:color w:val="0D0D0D" w:themeColor="text1" w:themeTint="F2"/>
              </w:rPr>
              <w:t>273 (100)</w:t>
            </w:r>
          </w:p>
        </w:tc>
        <w:tc>
          <w:tcPr>
            <w:tcW w:w="595" w:type="dxa"/>
            <w:vMerge/>
            <w:tcBorders>
              <w:left w:val="single" w:sz="4" w:space="0" w:color="auto"/>
            </w:tcBorders>
            <w:vAlign w:val="center"/>
          </w:tcPr>
          <w:p w14:paraId="17C71575" w14:textId="77777777" w:rsidR="00556026" w:rsidRPr="00AD5DCE" w:rsidRDefault="00556026" w:rsidP="00FF3FFF">
            <w:pPr>
              <w:keepNext/>
              <w:widowControl w:val="0"/>
              <w:autoSpaceDE w:val="0"/>
              <w:autoSpaceDN w:val="0"/>
              <w:spacing w:line="240" w:lineRule="auto"/>
              <w:ind w:firstLine="0"/>
              <w:jc w:val="center"/>
              <w:rPr>
                <w:rFonts w:eastAsia="Times New Roman"/>
                <w:color w:val="0D0D0D" w:themeColor="text1" w:themeTint="F2"/>
              </w:rPr>
            </w:pPr>
          </w:p>
        </w:tc>
      </w:tr>
    </w:tbl>
    <w:p w14:paraId="43F6CCE3" w14:textId="386F9529" w:rsidR="00556026" w:rsidRPr="00AD5DCE" w:rsidRDefault="00CF1BCC" w:rsidP="00556026">
      <w:pPr>
        <w:widowControl w:val="0"/>
        <w:spacing w:line="340" w:lineRule="exact"/>
        <w:jc w:val="left"/>
        <w:rPr>
          <w:bCs/>
          <w:i/>
          <w:iCs/>
          <w:color w:val="0D0D0D" w:themeColor="text1" w:themeTint="F2"/>
        </w:rPr>
      </w:pPr>
      <w:r w:rsidRPr="00AD5DCE">
        <w:rPr>
          <w:bCs/>
          <w:i/>
          <w:iCs/>
          <w:color w:val="0D0D0D" w:themeColor="text1" w:themeTint="F2"/>
        </w:rPr>
        <w:t>Fisher</w:t>
      </w:r>
      <w:r w:rsidRPr="00AD5DCE">
        <w:rPr>
          <w:bCs/>
          <w:i/>
          <w:iCs/>
          <w:color w:val="0D0D0D" w:themeColor="text1" w:themeTint="F2"/>
          <w:lang w:val="vi-VN"/>
        </w:rPr>
        <w:t>’</w:t>
      </w:r>
      <w:r w:rsidR="006422DE" w:rsidRPr="00AD5DCE">
        <w:rPr>
          <w:bCs/>
          <w:i/>
          <w:iCs/>
          <w:color w:val="0D0D0D" w:themeColor="text1" w:themeTint="F2"/>
        </w:rPr>
        <w:t>s exact test</w:t>
      </w:r>
    </w:p>
    <w:p w14:paraId="0AEA73D4" w14:textId="77777777" w:rsidR="00CF1BCC" w:rsidRPr="00AD5DCE" w:rsidRDefault="00CF1BCC" w:rsidP="00CF1BCC">
      <w:pPr>
        <w:keepNext/>
        <w:spacing w:line="340" w:lineRule="exact"/>
        <w:rPr>
          <w:bCs/>
          <w:color w:val="0D0D0D" w:themeColor="text1" w:themeTint="F2"/>
          <w:lang w:val="vi-VN"/>
        </w:rPr>
      </w:pPr>
      <w:bookmarkStart w:id="17" w:name="_Toc207715165"/>
      <w:bookmarkStart w:id="18" w:name="_Toc207715294"/>
      <w:bookmarkStart w:id="19" w:name="_Ref210993245"/>
      <w:r w:rsidRPr="00AD5DCE">
        <w:rPr>
          <w:bCs/>
          <w:color w:val="0D0D0D" w:themeColor="text1" w:themeTint="F2"/>
        </w:rPr>
        <w:t>The proportion of HCC patients infected with HBV genotype B was 70.0%.</w:t>
      </w:r>
    </w:p>
    <w:bookmarkEnd w:id="17"/>
    <w:bookmarkEnd w:id="18"/>
    <w:bookmarkEnd w:id="19"/>
    <w:p w14:paraId="37AE7A67" w14:textId="34FF9683" w:rsidR="00556026" w:rsidRPr="00AD5DCE" w:rsidRDefault="00CF1BCC" w:rsidP="00556026">
      <w:pPr>
        <w:keepNext/>
        <w:spacing w:line="340" w:lineRule="exact"/>
        <w:jc w:val="center"/>
        <w:rPr>
          <w:b/>
          <w:bCs/>
          <w:color w:val="0D0D0D" w:themeColor="text1" w:themeTint="F2"/>
          <w:lang w:val="vi-VN"/>
        </w:rPr>
      </w:pPr>
      <w:r w:rsidRPr="00AD5DCE">
        <w:rPr>
          <w:b/>
          <w:bCs/>
          <w:color w:val="0D0D0D" w:themeColor="text1" w:themeTint="F2"/>
        </w:rPr>
        <w:t xml:space="preserve">Table 3.4. Characteristics </w:t>
      </w:r>
      <w:r w:rsidR="005B5D37" w:rsidRPr="00AD5DCE">
        <w:rPr>
          <w:b/>
          <w:bCs/>
          <w:color w:val="0D0D0D" w:themeColor="text1" w:themeTint="F2"/>
        </w:rPr>
        <w:t xml:space="preserve">of mutations in functional regions of the </w:t>
      </w:r>
      <w:r w:rsidR="00EF225C">
        <w:rPr>
          <w:b/>
          <w:bCs/>
          <w:i/>
          <w:iCs/>
          <w:color w:val="0D0D0D" w:themeColor="text1" w:themeTint="F2"/>
        </w:rPr>
        <w:t>preS</w:t>
      </w:r>
      <w:r w:rsidR="005B5D37" w:rsidRPr="005B5D37">
        <w:rPr>
          <w:b/>
          <w:bCs/>
          <w:i/>
          <w:iCs/>
          <w:color w:val="0D0D0D" w:themeColor="text1" w:themeTint="F2"/>
        </w:rPr>
        <w:t>/S</w:t>
      </w:r>
      <w:r w:rsidR="005B5D37" w:rsidRPr="00AD5DCE">
        <w:rPr>
          <w:b/>
          <w:bCs/>
          <w:color w:val="0D0D0D" w:themeColor="text1" w:themeTint="F2"/>
        </w:rPr>
        <w:t xml:space="preserve"> </w:t>
      </w:r>
      <w:r w:rsidR="005B5D37">
        <w:rPr>
          <w:b/>
          <w:bCs/>
          <w:color w:val="0D0D0D" w:themeColor="text1" w:themeTint="F2"/>
        </w:rPr>
        <w:t xml:space="preserve">gene </w:t>
      </w:r>
      <w:r w:rsidRPr="00AD5DCE">
        <w:rPr>
          <w:b/>
          <w:bCs/>
          <w:color w:val="0D0D0D" w:themeColor="text1" w:themeTint="F2"/>
        </w:rPr>
        <w:t>(n=273)</w:t>
      </w:r>
      <w:r w:rsidRPr="00AD5DCE">
        <w:rPr>
          <w:b/>
          <w:bCs/>
          <w:color w:val="0D0D0D" w:themeColor="text1" w:themeTint="F2"/>
          <w:lang w:val="vi-VN"/>
        </w:rPr>
        <w:t xml:space="preserve"> </w:t>
      </w:r>
    </w:p>
    <w:tbl>
      <w:tblPr>
        <w:tblW w:w="616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07"/>
        <w:gridCol w:w="1711"/>
        <w:gridCol w:w="1173"/>
        <w:gridCol w:w="1169"/>
      </w:tblGrid>
      <w:tr w:rsidR="00CF1BCC" w:rsidRPr="00AD5DCE" w14:paraId="24D886A8" w14:textId="77777777" w:rsidTr="00CF1BCC">
        <w:trPr>
          <w:trHeight w:val="656"/>
        </w:trPr>
        <w:tc>
          <w:tcPr>
            <w:tcW w:w="2107" w:type="dxa"/>
          </w:tcPr>
          <w:p w14:paraId="286DD45B" w14:textId="77777777" w:rsidR="00CF1BCC" w:rsidRPr="00AD5DCE" w:rsidRDefault="00CF1BCC" w:rsidP="00CF1BCC">
            <w:pPr>
              <w:tabs>
                <w:tab w:val="left" w:pos="1956"/>
              </w:tabs>
              <w:spacing w:line="240" w:lineRule="auto"/>
              <w:ind w:firstLine="0"/>
              <w:jc w:val="center"/>
              <w:rPr>
                <w:b/>
                <w:bCs/>
                <w:lang w:val="vi-VN"/>
              </w:rPr>
            </w:pPr>
            <w:r w:rsidRPr="00AD5DCE">
              <w:rPr>
                <w:b/>
                <w:bCs/>
              </w:rPr>
              <w:t xml:space="preserve">Functional region </w:t>
            </w:r>
          </w:p>
          <w:p w14:paraId="33A51746" w14:textId="422BE144" w:rsidR="00CF1BCC" w:rsidRPr="00AD5DCE" w:rsidRDefault="00CF1BCC" w:rsidP="00CF1BCC">
            <w:pPr>
              <w:tabs>
                <w:tab w:val="left" w:pos="1956"/>
              </w:tabs>
              <w:spacing w:line="240" w:lineRule="auto"/>
              <w:ind w:firstLine="0"/>
              <w:jc w:val="center"/>
              <w:rPr>
                <w:b/>
                <w:bCs/>
                <w:color w:val="0D0D0D" w:themeColor="text1" w:themeTint="F2"/>
                <w:lang w:eastAsia="ko-KR"/>
              </w:rPr>
            </w:pPr>
            <w:r w:rsidRPr="00AD5DCE">
              <w:rPr>
                <w:b/>
                <w:bCs/>
              </w:rPr>
              <w:t>(≥1 mutation)</w:t>
            </w:r>
          </w:p>
        </w:tc>
        <w:tc>
          <w:tcPr>
            <w:tcW w:w="1711" w:type="dxa"/>
          </w:tcPr>
          <w:p w14:paraId="5F7A9D70" w14:textId="30C89148" w:rsidR="00CF1BCC" w:rsidRPr="00AD5DCE" w:rsidRDefault="00CF1BCC" w:rsidP="00CF1BCC">
            <w:pPr>
              <w:tabs>
                <w:tab w:val="left" w:pos="1956"/>
              </w:tabs>
              <w:spacing w:line="240" w:lineRule="auto"/>
              <w:ind w:firstLine="0"/>
              <w:jc w:val="center"/>
              <w:rPr>
                <w:b/>
                <w:bCs/>
                <w:color w:val="0D0D0D" w:themeColor="text1" w:themeTint="F2"/>
                <w:highlight w:val="white"/>
                <w:lang w:eastAsia="ko-KR"/>
              </w:rPr>
            </w:pPr>
            <w:r w:rsidRPr="00AD5DCE">
              <w:rPr>
                <w:b/>
                <w:bCs/>
              </w:rPr>
              <w:t>Position</w:t>
            </w:r>
          </w:p>
        </w:tc>
        <w:tc>
          <w:tcPr>
            <w:tcW w:w="1173" w:type="dxa"/>
            <w:tcBorders>
              <w:top w:val="single" w:sz="4" w:space="0" w:color="auto"/>
            </w:tcBorders>
          </w:tcPr>
          <w:p w14:paraId="7DF6B6B0" w14:textId="003AE996" w:rsidR="00CF1BCC" w:rsidRPr="00AD5DCE" w:rsidRDefault="00CF1BCC" w:rsidP="00CF1BCC">
            <w:pPr>
              <w:tabs>
                <w:tab w:val="left" w:pos="1956"/>
              </w:tabs>
              <w:spacing w:line="240" w:lineRule="auto"/>
              <w:ind w:firstLine="0"/>
              <w:jc w:val="center"/>
              <w:rPr>
                <w:b/>
                <w:bCs/>
                <w:color w:val="0D0D0D" w:themeColor="text1" w:themeTint="F2"/>
                <w:highlight w:val="white"/>
                <w:lang w:eastAsia="ko-KR"/>
              </w:rPr>
            </w:pPr>
            <w:r w:rsidRPr="00AD5DCE">
              <w:rPr>
                <w:b/>
                <w:bCs/>
              </w:rPr>
              <w:t>Frequency</w:t>
            </w:r>
          </w:p>
        </w:tc>
        <w:tc>
          <w:tcPr>
            <w:tcW w:w="1169" w:type="dxa"/>
            <w:tcBorders>
              <w:top w:val="single" w:sz="4" w:space="0" w:color="auto"/>
            </w:tcBorders>
          </w:tcPr>
          <w:p w14:paraId="7CCB7871" w14:textId="3271AB54" w:rsidR="00CF1BCC" w:rsidRPr="00AD5DCE" w:rsidRDefault="00CF1BCC" w:rsidP="00CF1BCC">
            <w:pPr>
              <w:tabs>
                <w:tab w:val="left" w:pos="1956"/>
              </w:tabs>
              <w:spacing w:line="240" w:lineRule="auto"/>
              <w:ind w:firstLine="0"/>
              <w:jc w:val="center"/>
              <w:rPr>
                <w:b/>
                <w:bCs/>
                <w:color w:val="0D0D0D" w:themeColor="text1" w:themeTint="F2"/>
                <w:highlight w:val="white"/>
                <w:lang w:val="vi" w:eastAsia="ko-KR"/>
              </w:rPr>
            </w:pPr>
            <w:r w:rsidRPr="00AD5DCE">
              <w:rPr>
                <w:b/>
                <w:bCs/>
              </w:rPr>
              <w:t>Percentage (%)</w:t>
            </w:r>
          </w:p>
        </w:tc>
      </w:tr>
      <w:tr w:rsidR="00556026" w:rsidRPr="00AD5DCE" w14:paraId="2FC1A84D" w14:textId="77777777" w:rsidTr="00CF1BCC">
        <w:trPr>
          <w:trHeight w:val="611"/>
        </w:trPr>
        <w:tc>
          <w:tcPr>
            <w:tcW w:w="2107" w:type="dxa"/>
            <w:vAlign w:val="center"/>
          </w:tcPr>
          <w:p w14:paraId="21B29B66" w14:textId="3F22AF0E" w:rsidR="00556026" w:rsidRPr="00AD5DCE" w:rsidRDefault="00CF1BCC" w:rsidP="00FF3FFF">
            <w:pPr>
              <w:tabs>
                <w:tab w:val="left" w:pos="1956"/>
              </w:tabs>
              <w:spacing w:line="240" w:lineRule="auto"/>
              <w:ind w:left="90" w:firstLine="0"/>
              <w:jc w:val="left"/>
              <w:rPr>
                <w:bCs/>
                <w:color w:val="0D0D0D" w:themeColor="text1" w:themeTint="F2"/>
                <w:lang w:eastAsia="ko-KR"/>
              </w:rPr>
            </w:pPr>
            <w:r w:rsidRPr="00CF1BCC">
              <w:rPr>
                <w:bCs/>
                <w:color w:val="0D0D0D" w:themeColor="text1" w:themeTint="F2"/>
              </w:rPr>
              <w:t>Ligand-binding region for NTCP</w:t>
            </w:r>
          </w:p>
        </w:tc>
        <w:tc>
          <w:tcPr>
            <w:tcW w:w="1711" w:type="dxa"/>
            <w:vAlign w:val="center"/>
          </w:tcPr>
          <w:p w14:paraId="5C004CA7" w14:textId="77777777" w:rsidR="00556026" w:rsidRPr="00AD5DCE" w:rsidRDefault="00556026" w:rsidP="00FF3FFF">
            <w:pPr>
              <w:tabs>
                <w:tab w:val="left" w:pos="1956"/>
              </w:tabs>
              <w:spacing w:line="240" w:lineRule="auto"/>
              <w:ind w:left="144" w:firstLine="0"/>
              <w:jc w:val="left"/>
              <w:rPr>
                <w:color w:val="0D0D0D" w:themeColor="text1" w:themeTint="F2"/>
                <w:highlight w:val="white"/>
                <w:lang w:val="vi" w:eastAsia="ko-KR"/>
              </w:rPr>
            </w:pPr>
            <w:r w:rsidRPr="00AD5DCE">
              <w:rPr>
                <w:color w:val="0D0D0D" w:themeColor="text1" w:themeTint="F2"/>
              </w:rPr>
              <w:t>(codon 20-29)</w:t>
            </w:r>
          </w:p>
        </w:tc>
        <w:tc>
          <w:tcPr>
            <w:tcW w:w="1173" w:type="dxa"/>
            <w:vAlign w:val="center"/>
          </w:tcPr>
          <w:p w14:paraId="12899024" w14:textId="77777777" w:rsidR="00556026" w:rsidRPr="00AD5DCE" w:rsidRDefault="00556026" w:rsidP="00FF3FFF">
            <w:pPr>
              <w:tabs>
                <w:tab w:val="left" w:pos="1956"/>
              </w:tabs>
              <w:spacing w:line="240" w:lineRule="auto"/>
              <w:ind w:firstLine="0"/>
              <w:jc w:val="center"/>
              <w:rPr>
                <w:color w:val="0D0D0D" w:themeColor="text1" w:themeTint="F2"/>
                <w:highlight w:val="white"/>
                <w:lang w:val="vi" w:eastAsia="ko-KR"/>
              </w:rPr>
            </w:pPr>
            <w:r w:rsidRPr="00AD5DCE">
              <w:rPr>
                <w:color w:val="0D0D0D" w:themeColor="text1" w:themeTint="F2"/>
                <w:highlight w:val="white"/>
                <w:lang w:val="vi" w:eastAsia="ko-KR"/>
              </w:rPr>
              <w:t>42</w:t>
            </w:r>
          </w:p>
        </w:tc>
        <w:tc>
          <w:tcPr>
            <w:tcW w:w="1169" w:type="dxa"/>
            <w:vAlign w:val="center"/>
          </w:tcPr>
          <w:p w14:paraId="426B7704" w14:textId="132ECD7C" w:rsidR="00556026" w:rsidRPr="00AD5DCE" w:rsidRDefault="00556026" w:rsidP="00FF3FFF">
            <w:pPr>
              <w:tabs>
                <w:tab w:val="left" w:pos="1956"/>
              </w:tabs>
              <w:spacing w:line="240" w:lineRule="auto"/>
              <w:ind w:firstLine="0"/>
              <w:jc w:val="center"/>
              <w:rPr>
                <w:color w:val="0D0D0D" w:themeColor="text1" w:themeTint="F2"/>
                <w:highlight w:val="white"/>
                <w:lang w:val="vi" w:eastAsia="ko-KR"/>
              </w:rPr>
            </w:pPr>
            <w:r w:rsidRPr="00AD5DCE">
              <w:rPr>
                <w:color w:val="0D0D0D" w:themeColor="text1" w:themeTint="F2"/>
                <w:highlight w:val="white"/>
                <w:lang w:val="vi" w:eastAsia="ko-KR"/>
              </w:rPr>
              <w:t>15</w:t>
            </w:r>
            <w:r w:rsidR="006422DE" w:rsidRPr="00AD5DCE">
              <w:rPr>
                <w:color w:val="0D0D0D" w:themeColor="text1" w:themeTint="F2"/>
                <w:highlight w:val="white"/>
                <w:lang w:val="vi" w:eastAsia="ko-KR"/>
              </w:rPr>
              <w:t>.</w:t>
            </w:r>
            <w:r w:rsidRPr="00AD5DCE">
              <w:rPr>
                <w:color w:val="0D0D0D" w:themeColor="text1" w:themeTint="F2"/>
                <w:highlight w:val="white"/>
                <w:lang w:val="vi" w:eastAsia="ko-KR"/>
              </w:rPr>
              <w:t>4</w:t>
            </w:r>
          </w:p>
        </w:tc>
      </w:tr>
      <w:tr w:rsidR="00556026" w:rsidRPr="00AD5DCE" w14:paraId="31AE7BED" w14:textId="77777777" w:rsidTr="00CF1BCC">
        <w:trPr>
          <w:trHeight w:val="340"/>
        </w:trPr>
        <w:tc>
          <w:tcPr>
            <w:tcW w:w="2107" w:type="dxa"/>
            <w:vAlign w:val="center"/>
          </w:tcPr>
          <w:p w14:paraId="33624F44" w14:textId="77777777" w:rsidR="00556026" w:rsidRPr="00AD5DCE" w:rsidRDefault="00556026" w:rsidP="00FF3FFF">
            <w:pPr>
              <w:tabs>
                <w:tab w:val="left" w:pos="1956"/>
              </w:tabs>
              <w:spacing w:line="240" w:lineRule="auto"/>
              <w:ind w:left="90" w:firstLine="0"/>
              <w:jc w:val="left"/>
              <w:rPr>
                <w:bCs/>
                <w:color w:val="0D0D0D" w:themeColor="text1" w:themeTint="F2"/>
                <w:lang w:val="vi" w:eastAsia="ko-KR"/>
              </w:rPr>
            </w:pPr>
            <w:r w:rsidRPr="00AD5DCE">
              <w:rPr>
                <w:bCs/>
                <w:color w:val="0D0D0D" w:themeColor="text1" w:themeTint="F2"/>
              </w:rPr>
              <w:t>Hsc70</w:t>
            </w:r>
          </w:p>
        </w:tc>
        <w:tc>
          <w:tcPr>
            <w:tcW w:w="1711" w:type="dxa"/>
            <w:vAlign w:val="center"/>
          </w:tcPr>
          <w:p w14:paraId="5D87AD82" w14:textId="77777777" w:rsidR="00556026" w:rsidRPr="00AD5DCE" w:rsidRDefault="00556026" w:rsidP="00FF3FFF">
            <w:pPr>
              <w:tabs>
                <w:tab w:val="left" w:pos="1956"/>
              </w:tabs>
              <w:spacing w:line="240" w:lineRule="auto"/>
              <w:ind w:left="144" w:firstLine="0"/>
              <w:jc w:val="left"/>
              <w:rPr>
                <w:color w:val="0D0D0D" w:themeColor="text1" w:themeTint="F2"/>
                <w:highlight w:val="white"/>
                <w:lang w:val="vi" w:eastAsia="ko-KR"/>
              </w:rPr>
            </w:pPr>
            <w:r w:rsidRPr="00AD5DCE">
              <w:rPr>
                <w:color w:val="0D0D0D" w:themeColor="text1" w:themeTint="F2"/>
              </w:rPr>
              <w:t>(codon 74-118)</w:t>
            </w:r>
          </w:p>
        </w:tc>
        <w:tc>
          <w:tcPr>
            <w:tcW w:w="1173" w:type="dxa"/>
            <w:vAlign w:val="center"/>
          </w:tcPr>
          <w:p w14:paraId="39182AD8" w14:textId="77777777" w:rsidR="00556026" w:rsidRPr="00AD5DCE" w:rsidRDefault="00556026" w:rsidP="00FF3FFF">
            <w:pPr>
              <w:tabs>
                <w:tab w:val="left" w:pos="1956"/>
              </w:tabs>
              <w:spacing w:line="240" w:lineRule="auto"/>
              <w:ind w:firstLine="0"/>
              <w:jc w:val="center"/>
              <w:rPr>
                <w:color w:val="0D0D0D" w:themeColor="text1" w:themeTint="F2"/>
                <w:highlight w:val="white"/>
                <w:lang w:val="vi" w:eastAsia="ko-KR"/>
              </w:rPr>
            </w:pPr>
            <w:r w:rsidRPr="00AD5DCE">
              <w:rPr>
                <w:color w:val="0D0D0D" w:themeColor="text1" w:themeTint="F2"/>
                <w:highlight w:val="white"/>
                <w:lang w:val="vi" w:eastAsia="ko-KR"/>
              </w:rPr>
              <w:t>273</w:t>
            </w:r>
          </w:p>
        </w:tc>
        <w:tc>
          <w:tcPr>
            <w:tcW w:w="1169" w:type="dxa"/>
            <w:vAlign w:val="center"/>
          </w:tcPr>
          <w:p w14:paraId="6F307968" w14:textId="2A6881CD" w:rsidR="00556026" w:rsidRPr="00AD5DCE" w:rsidRDefault="00556026" w:rsidP="00FF3FFF">
            <w:pPr>
              <w:tabs>
                <w:tab w:val="left" w:pos="1956"/>
              </w:tabs>
              <w:spacing w:line="240" w:lineRule="auto"/>
              <w:ind w:firstLine="0"/>
              <w:jc w:val="center"/>
              <w:rPr>
                <w:color w:val="0D0D0D" w:themeColor="text1" w:themeTint="F2"/>
                <w:highlight w:val="white"/>
                <w:lang w:eastAsia="ko-KR"/>
              </w:rPr>
            </w:pPr>
            <w:r w:rsidRPr="00AD5DCE">
              <w:rPr>
                <w:color w:val="0D0D0D" w:themeColor="text1" w:themeTint="F2"/>
              </w:rPr>
              <w:t>100</w:t>
            </w:r>
            <w:r w:rsidR="006422DE" w:rsidRPr="00AD5DCE">
              <w:rPr>
                <w:rFonts w:eastAsia="MS Mincho"/>
                <w:color w:val="0D0D0D" w:themeColor="text1" w:themeTint="F2"/>
              </w:rPr>
              <w:t>.</w:t>
            </w:r>
            <w:r w:rsidRPr="00AD5DCE">
              <w:rPr>
                <w:rFonts w:eastAsia="MS Mincho"/>
                <w:color w:val="0D0D0D" w:themeColor="text1" w:themeTint="F2"/>
              </w:rPr>
              <w:t>0</w:t>
            </w:r>
          </w:p>
        </w:tc>
      </w:tr>
      <w:tr w:rsidR="00556026" w:rsidRPr="00AD5DCE" w14:paraId="3242D6D9" w14:textId="77777777" w:rsidTr="00CF1BCC">
        <w:trPr>
          <w:trHeight w:val="340"/>
        </w:trPr>
        <w:tc>
          <w:tcPr>
            <w:tcW w:w="2107" w:type="dxa"/>
            <w:vAlign w:val="center"/>
          </w:tcPr>
          <w:p w14:paraId="0DD4F15E" w14:textId="77777777" w:rsidR="00556026" w:rsidRPr="00AD5DCE" w:rsidRDefault="00556026" w:rsidP="00FF3FFF">
            <w:pPr>
              <w:widowControl w:val="0"/>
              <w:autoSpaceDE w:val="0"/>
              <w:autoSpaceDN w:val="0"/>
              <w:spacing w:line="240" w:lineRule="auto"/>
              <w:ind w:left="90" w:firstLine="0"/>
              <w:jc w:val="left"/>
              <w:rPr>
                <w:rFonts w:eastAsia="Times New Roman"/>
                <w:bCs/>
                <w:color w:val="0D0D0D" w:themeColor="text1" w:themeTint="F2"/>
                <w:lang w:val="vi" w:eastAsia="ko-KR"/>
              </w:rPr>
            </w:pPr>
            <w:r w:rsidRPr="00AD5DCE">
              <w:rPr>
                <w:rFonts w:eastAsia="Times New Roman"/>
                <w:bCs/>
                <w:color w:val="0D0D0D" w:themeColor="text1" w:themeTint="F2"/>
              </w:rPr>
              <w:t xml:space="preserve">S </w:t>
            </w:r>
            <w:r w:rsidRPr="00AD5DCE">
              <w:rPr>
                <w:rFonts w:eastAsia="Times New Roman"/>
                <w:bCs/>
                <w:color w:val="0D0D0D" w:themeColor="text1" w:themeTint="F2"/>
                <w:spacing w:val="-4"/>
              </w:rPr>
              <w:t>promoter</w:t>
            </w:r>
          </w:p>
        </w:tc>
        <w:tc>
          <w:tcPr>
            <w:tcW w:w="1711" w:type="dxa"/>
            <w:vAlign w:val="center"/>
          </w:tcPr>
          <w:p w14:paraId="3D3C5474" w14:textId="77777777" w:rsidR="00556026" w:rsidRPr="00AD5DCE" w:rsidRDefault="00556026" w:rsidP="00FF3FFF">
            <w:pPr>
              <w:widowControl w:val="0"/>
              <w:autoSpaceDE w:val="0"/>
              <w:autoSpaceDN w:val="0"/>
              <w:spacing w:line="240" w:lineRule="auto"/>
              <w:ind w:left="144" w:firstLine="0"/>
              <w:jc w:val="left"/>
              <w:rPr>
                <w:rFonts w:eastAsia="Times New Roman"/>
                <w:color w:val="0D0D0D" w:themeColor="text1" w:themeTint="F2"/>
                <w:highlight w:val="white"/>
                <w:lang w:val="vi" w:eastAsia="ko-KR"/>
              </w:rPr>
            </w:pPr>
            <w:r w:rsidRPr="00AD5DCE">
              <w:rPr>
                <w:rFonts w:eastAsia="Times New Roman"/>
                <w:color w:val="0D0D0D" w:themeColor="text1" w:themeTint="F2"/>
                <w:spacing w:val="-3"/>
              </w:rPr>
              <w:t>(codon 66-</w:t>
            </w:r>
            <w:r w:rsidRPr="00AD5DCE">
              <w:rPr>
                <w:rFonts w:eastAsia="Times New Roman"/>
                <w:color w:val="0D0D0D" w:themeColor="text1" w:themeTint="F2"/>
                <w:spacing w:val="-4"/>
              </w:rPr>
              <w:t>111)</w:t>
            </w:r>
          </w:p>
        </w:tc>
        <w:tc>
          <w:tcPr>
            <w:tcW w:w="1173" w:type="dxa"/>
            <w:vAlign w:val="center"/>
          </w:tcPr>
          <w:p w14:paraId="4E80AD8C" w14:textId="77777777" w:rsidR="00556026" w:rsidRPr="00AD5DCE" w:rsidRDefault="00556026" w:rsidP="00FF3FFF">
            <w:pPr>
              <w:tabs>
                <w:tab w:val="left" w:pos="1956"/>
              </w:tabs>
              <w:spacing w:line="240" w:lineRule="auto"/>
              <w:ind w:firstLine="0"/>
              <w:jc w:val="center"/>
              <w:rPr>
                <w:color w:val="0D0D0D" w:themeColor="text1" w:themeTint="F2"/>
                <w:highlight w:val="white"/>
                <w:lang w:val="vi" w:eastAsia="ko-KR"/>
              </w:rPr>
            </w:pPr>
            <w:r w:rsidRPr="00AD5DCE">
              <w:rPr>
                <w:color w:val="0D0D0D" w:themeColor="text1" w:themeTint="F2"/>
                <w:highlight w:val="white"/>
                <w:lang w:val="vi" w:eastAsia="ko-KR"/>
              </w:rPr>
              <w:t>273</w:t>
            </w:r>
          </w:p>
        </w:tc>
        <w:tc>
          <w:tcPr>
            <w:tcW w:w="1169" w:type="dxa"/>
            <w:vAlign w:val="center"/>
          </w:tcPr>
          <w:p w14:paraId="398EB1AC" w14:textId="222875A7" w:rsidR="00556026" w:rsidRPr="00AD5DCE" w:rsidRDefault="00556026" w:rsidP="00FF3FFF">
            <w:pPr>
              <w:tabs>
                <w:tab w:val="left" w:pos="1956"/>
              </w:tabs>
              <w:spacing w:line="240" w:lineRule="auto"/>
              <w:ind w:firstLine="0"/>
              <w:jc w:val="center"/>
              <w:rPr>
                <w:color w:val="0D0D0D" w:themeColor="text1" w:themeTint="F2"/>
                <w:highlight w:val="white"/>
                <w:lang w:eastAsia="ko-KR"/>
              </w:rPr>
            </w:pPr>
            <w:r w:rsidRPr="00AD5DCE">
              <w:rPr>
                <w:color w:val="0D0D0D" w:themeColor="text1" w:themeTint="F2"/>
              </w:rPr>
              <w:t>100</w:t>
            </w:r>
            <w:r w:rsidR="006422DE" w:rsidRPr="00AD5DCE">
              <w:rPr>
                <w:rFonts w:eastAsia="MS Mincho"/>
                <w:color w:val="0D0D0D" w:themeColor="text1" w:themeTint="F2"/>
              </w:rPr>
              <w:t>.</w:t>
            </w:r>
            <w:r w:rsidRPr="00AD5DCE">
              <w:rPr>
                <w:rFonts w:eastAsia="MS Mincho"/>
                <w:color w:val="0D0D0D" w:themeColor="text1" w:themeTint="F2"/>
              </w:rPr>
              <w:t>0</w:t>
            </w:r>
          </w:p>
        </w:tc>
      </w:tr>
      <w:tr w:rsidR="00556026" w:rsidRPr="00AD5DCE" w14:paraId="152E36EA" w14:textId="77777777" w:rsidTr="00CF1BCC">
        <w:trPr>
          <w:trHeight w:val="340"/>
        </w:trPr>
        <w:tc>
          <w:tcPr>
            <w:tcW w:w="2107" w:type="dxa"/>
            <w:vAlign w:val="center"/>
          </w:tcPr>
          <w:p w14:paraId="4939019F" w14:textId="77777777" w:rsidR="00556026" w:rsidRPr="00AD5DCE" w:rsidRDefault="00556026" w:rsidP="00FF3FFF">
            <w:pPr>
              <w:tabs>
                <w:tab w:val="left" w:pos="1956"/>
              </w:tabs>
              <w:spacing w:line="240" w:lineRule="auto"/>
              <w:ind w:left="90" w:firstLine="0"/>
              <w:jc w:val="left"/>
              <w:rPr>
                <w:bCs/>
                <w:color w:val="0D0D0D" w:themeColor="text1" w:themeTint="F2"/>
                <w:highlight w:val="white"/>
                <w:lang w:val="vi" w:eastAsia="ko-KR"/>
              </w:rPr>
            </w:pPr>
            <w:r w:rsidRPr="00AD5DCE">
              <w:rPr>
                <w:bCs/>
                <w:color w:val="0D0D0D" w:themeColor="text1" w:themeTint="F2"/>
              </w:rPr>
              <w:t>NBS</w:t>
            </w:r>
          </w:p>
        </w:tc>
        <w:tc>
          <w:tcPr>
            <w:tcW w:w="1711" w:type="dxa"/>
            <w:vAlign w:val="center"/>
          </w:tcPr>
          <w:p w14:paraId="2B0012D8" w14:textId="77777777" w:rsidR="00556026" w:rsidRPr="00AD5DCE" w:rsidRDefault="00556026" w:rsidP="00FF3FFF">
            <w:pPr>
              <w:tabs>
                <w:tab w:val="left" w:pos="1956"/>
              </w:tabs>
              <w:spacing w:line="240" w:lineRule="auto"/>
              <w:ind w:left="144" w:firstLine="0"/>
              <w:jc w:val="left"/>
              <w:rPr>
                <w:color w:val="0D0D0D" w:themeColor="text1" w:themeTint="F2"/>
                <w:highlight w:val="white"/>
                <w:lang w:val="vi" w:eastAsia="ko-KR"/>
              </w:rPr>
            </w:pPr>
            <w:r w:rsidRPr="00AD5DCE">
              <w:rPr>
                <w:b/>
                <w:color w:val="0D0D0D" w:themeColor="text1" w:themeTint="F2"/>
              </w:rPr>
              <w:t>(</w:t>
            </w:r>
            <w:r w:rsidRPr="00AD5DCE">
              <w:rPr>
                <w:color w:val="0D0D0D" w:themeColor="text1" w:themeTint="F2"/>
              </w:rPr>
              <w:t>codon 103-127)</w:t>
            </w:r>
          </w:p>
        </w:tc>
        <w:tc>
          <w:tcPr>
            <w:tcW w:w="1173" w:type="dxa"/>
            <w:vAlign w:val="center"/>
          </w:tcPr>
          <w:p w14:paraId="3CDFB964" w14:textId="77777777" w:rsidR="00556026" w:rsidRPr="00AD5DCE" w:rsidRDefault="00556026" w:rsidP="00FF3FFF">
            <w:pPr>
              <w:tabs>
                <w:tab w:val="left" w:pos="1956"/>
              </w:tabs>
              <w:spacing w:line="240" w:lineRule="auto"/>
              <w:ind w:firstLine="0"/>
              <w:jc w:val="center"/>
              <w:rPr>
                <w:color w:val="0D0D0D" w:themeColor="text1" w:themeTint="F2"/>
                <w:highlight w:val="white"/>
                <w:lang w:val="vi" w:eastAsia="ko-KR"/>
              </w:rPr>
            </w:pPr>
            <w:r w:rsidRPr="00AD5DCE">
              <w:rPr>
                <w:color w:val="0D0D0D" w:themeColor="text1" w:themeTint="F2"/>
                <w:lang w:val="vi" w:eastAsia="ko-KR"/>
              </w:rPr>
              <w:t>258</w:t>
            </w:r>
          </w:p>
        </w:tc>
        <w:tc>
          <w:tcPr>
            <w:tcW w:w="1169" w:type="dxa"/>
            <w:vAlign w:val="center"/>
          </w:tcPr>
          <w:p w14:paraId="6DD811C2" w14:textId="0F95A8F1" w:rsidR="00556026" w:rsidRPr="00AD5DCE" w:rsidRDefault="00556026" w:rsidP="00FF3FFF">
            <w:pPr>
              <w:tabs>
                <w:tab w:val="left" w:pos="1956"/>
              </w:tabs>
              <w:spacing w:line="240" w:lineRule="auto"/>
              <w:ind w:firstLine="0"/>
              <w:jc w:val="center"/>
              <w:rPr>
                <w:color w:val="0D0D0D" w:themeColor="text1" w:themeTint="F2"/>
                <w:highlight w:val="white"/>
                <w:lang w:eastAsia="ko-KR"/>
              </w:rPr>
            </w:pPr>
            <w:r w:rsidRPr="00AD5DCE">
              <w:rPr>
                <w:color w:val="0D0D0D" w:themeColor="text1" w:themeTint="F2"/>
              </w:rPr>
              <w:t>94</w:t>
            </w:r>
            <w:r w:rsidR="006422DE" w:rsidRPr="00AD5DCE">
              <w:rPr>
                <w:color w:val="0D0D0D" w:themeColor="text1" w:themeTint="F2"/>
              </w:rPr>
              <w:t>.</w:t>
            </w:r>
            <w:r w:rsidRPr="00AD5DCE">
              <w:rPr>
                <w:color w:val="0D0D0D" w:themeColor="text1" w:themeTint="F2"/>
              </w:rPr>
              <w:t>5</w:t>
            </w:r>
          </w:p>
        </w:tc>
      </w:tr>
    </w:tbl>
    <w:p w14:paraId="25EFAB96" w14:textId="54867E85" w:rsidR="00CF1BCC" w:rsidRPr="00CF1BCC" w:rsidRDefault="00CF1BCC" w:rsidP="00AD5DCE">
      <w:pPr>
        <w:widowControl w:val="0"/>
        <w:spacing w:line="340" w:lineRule="exact"/>
        <w:ind w:firstLine="720"/>
        <w:rPr>
          <w:rFonts w:eastAsia="Times New Roman"/>
          <w:i/>
          <w:iCs/>
          <w:shd w:val="clear" w:color="auto" w:fill="auto"/>
          <w:lang w:eastAsia="ja-JP"/>
        </w:rPr>
      </w:pPr>
      <w:r w:rsidRPr="00CF1BCC">
        <w:rPr>
          <w:rFonts w:eastAsia="Times New Roman"/>
          <w:i/>
          <w:iCs/>
          <w:shd w:val="clear" w:color="auto" w:fill="auto"/>
          <w:lang w:eastAsia="ja-JP"/>
        </w:rPr>
        <w:t xml:space="preserve">The mutation rate in codon 20–29 was 20.0% (18/90) in the HCC group, 14.1% (12/85) in the </w:t>
      </w:r>
      <w:r w:rsidR="0049643F">
        <w:rPr>
          <w:rFonts w:eastAsia="Times New Roman"/>
          <w:i/>
          <w:iCs/>
          <w:shd w:val="clear" w:color="auto" w:fill="auto"/>
          <w:lang w:eastAsia="ja-JP"/>
        </w:rPr>
        <w:t>LC</w:t>
      </w:r>
      <w:r w:rsidRPr="00CF1BCC">
        <w:rPr>
          <w:rFonts w:eastAsia="Times New Roman"/>
          <w:i/>
          <w:iCs/>
          <w:shd w:val="clear" w:color="auto" w:fill="auto"/>
          <w:lang w:eastAsia="ja-JP"/>
        </w:rPr>
        <w:t xml:space="preserve"> group, and 12.2% (12/98) in the </w:t>
      </w:r>
      <w:r w:rsidR="00374D18">
        <w:rPr>
          <w:rFonts w:eastAsia="Times New Roman"/>
          <w:i/>
          <w:iCs/>
          <w:shd w:val="clear" w:color="auto" w:fill="auto"/>
          <w:lang w:eastAsia="ja-JP"/>
        </w:rPr>
        <w:t>CHB</w:t>
      </w:r>
      <w:r w:rsidRPr="00CF1BCC">
        <w:rPr>
          <w:rFonts w:eastAsia="Times New Roman"/>
          <w:i/>
          <w:iCs/>
          <w:shd w:val="clear" w:color="auto" w:fill="auto"/>
          <w:lang w:eastAsia="ja-JP"/>
        </w:rPr>
        <w:t xml:space="preserve"> group (p=0.301, chi-square test).</w:t>
      </w:r>
    </w:p>
    <w:p w14:paraId="1ED15D07" w14:textId="7F3DD226" w:rsidR="00556026" w:rsidRPr="00AD5DCE" w:rsidRDefault="00CF1BCC" w:rsidP="00AD5DCE">
      <w:pPr>
        <w:spacing w:line="340" w:lineRule="exact"/>
        <w:ind w:firstLine="720"/>
        <w:rPr>
          <w:rFonts w:eastAsia="Times New Roman"/>
          <w:bCs/>
          <w:color w:val="0D0D0D" w:themeColor="text1" w:themeTint="F2"/>
          <w:spacing w:val="-4"/>
          <w:lang w:val="vi-VN"/>
        </w:rPr>
      </w:pPr>
      <w:r w:rsidRPr="00CF1BCC">
        <w:rPr>
          <w:rFonts w:eastAsia="Times New Roman"/>
          <w:shd w:val="clear" w:color="auto" w:fill="auto"/>
          <w:lang w:eastAsia="ja-JP"/>
        </w:rPr>
        <w:t xml:space="preserve">The ligand-binding region for NTCP in the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CF1BCC">
        <w:rPr>
          <w:rFonts w:eastAsia="Times New Roman"/>
          <w:shd w:val="clear" w:color="auto" w:fill="auto"/>
          <w:lang w:eastAsia="ja-JP"/>
        </w:rPr>
        <w:t xml:space="preserve"> gene (codon 20–29) showed a mutation rate of 15.4% among 273 subjects. All samples harbored at least one mutation in the Hsc70 and S promoter regions. The NBS region also exhibited a high mutation rate of 94.5% (258/273).</w:t>
      </w:r>
    </w:p>
    <w:p w14:paraId="60EA960E" w14:textId="7025727D" w:rsidR="00556026" w:rsidRPr="00AD5DCE" w:rsidRDefault="00CF1BCC" w:rsidP="00556026">
      <w:pPr>
        <w:tabs>
          <w:tab w:val="left" w:pos="709"/>
        </w:tabs>
        <w:spacing w:line="340" w:lineRule="exact"/>
        <w:ind w:right="2" w:firstLine="0"/>
        <w:jc w:val="center"/>
        <w:rPr>
          <w:b/>
          <w:bCs/>
          <w:color w:val="0D0D0D" w:themeColor="text1" w:themeTint="F2"/>
          <w:spacing w:val="-4"/>
          <w:lang w:val="vi-VN"/>
        </w:rPr>
      </w:pPr>
      <w:r w:rsidRPr="00AD5DCE">
        <w:rPr>
          <w:b/>
          <w:bCs/>
          <w:color w:val="0D0D0D" w:themeColor="text1" w:themeTint="F2"/>
          <w:spacing w:val="-4"/>
        </w:rPr>
        <w:lastRenderedPageBreak/>
        <w:t xml:space="preserve">Figure 3.1. Distribution </w:t>
      </w:r>
      <w:r w:rsidR="005B5D37" w:rsidRPr="00AD5DCE">
        <w:rPr>
          <w:b/>
          <w:bCs/>
          <w:color w:val="0D0D0D" w:themeColor="text1" w:themeTint="F2"/>
          <w:spacing w:val="-4"/>
        </w:rPr>
        <w:t xml:space="preserve">of amino acid substitution mutations in the </w:t>
      </w:r>
      <w:r w:rsidR="00EF225C">
        <w:rPr>
          <w:b/>
          <w:bCs/>
          <w:i/>
          <w:iCs/>
          <w:color w:val="0D0D0D" w:themeColor="text1" w:themeTint="F2"/>
          <w:spacing w:val="-4"/>
        </w:rPr>
        <w:t>preS</w:t>
      </w:r>
      <w:r w:rsidR="005B5D37" w:rsidRPr="005B5D37">
        <w:rPr>
          <w:b/>
          <w:bCs/>
          <w:i/>
          <w:iCs/>
          <w:color w:val="0D0D0D" w:themeColor="text1" w:themeTint="F2"/>
          <w:spacing w:val="-4"/>
        </w:rPr>
        <w:t>/S</w:t>
      </w:r>
      <w:r w:rsidR="005B5D37" w:rsidRPr="00AD5DCE">
        <w:rPr>
          <w:b/>
          <w:bCs/>
          <w:color w:val="0D0D0D" w:themeColor="text1" w:themeTint="F2"/>
          <w:spacing w:val="-4"/>
        </w:rPr>
        <w:t xml:space="preserve"> </w:t>
      </w:r>
      <w:r w:rsidR="005B5D37">
        <w:rPr>
          <w:b/>
          <w:bCs/>
          <w:color w:val="0D0D0D" w:themeColor="text1" w:themeTint="F2"/>
          <w:spacing w:val="-4"/>
        </w:rPr>
        <w:t xml:space="preserve">gene </w:t>
      </w:r>
      <w:r w:rsidR="005B5D37" w:rsidRPr="00AD5DCE">
        <w:rPr>
          <w:b/>
          <w:bCs/>
          <w:color w:val="0D0D0D" w:themeColor="text1" w:themeTint="F2"/>
          <w:spacing w:val="-4"/>
        </w:rPr>
        <w:t>(codon 20–174) by disease group</w:t>
      </w:r>
      <w:r w:rsidR="005B5D37" w:rsidRPr="00AD5DCE">
        <w:rPr>
          <w:b/>
          <w:bCs/>
          <w:color w:val="0D0D0D" w:themeColor="text1" w:themeTint="F2"/>
          <w:spacing w:val="-4"/>
          <w:lang w:val="vi-VN"/>
        </w:rPr>
        <w:t xml:space="preserve"> </w:t>
      </w:r>
      <w:r w:rsidR="00556026" w:rsidRPr="00AD5DCE">
        <w:rPr>
          <w:b/>
          <w:bCs/>
          <w:noProof/>
          <w:color w:val="0D0D0D" w:themeColor="text1" w:themeTint="F2"/>
        </w:rPr>
        <w:drawing>
          <wp:anchor distT="0" distB="0" distL="114300" distR="114300" simplePos="0" relativeHeight="251705344" behindDoc="0" locked="0" layoutInCell="1" allowOverlap="1" wp14:anchorId="6E602A98" wp14:editId="00D02ACB">
            <wp:simplePos x="0" y="0"/>
            <wp:positionH relativeFrom="margin">
              <wp:align>right</wp:align>
            </wp:positionH>
            <wp:positionV relativeFrom="paragraph">
              <wp:posOffset>0</wp:posOffset>
            </wp:positionV>
            <wp:extent cx="3906520" cy="2472055"/>
            <wp:effectExtent l="0" t="0" r="0" b="4445"/>
            <wp:wrapTopAndBottom/>
            <wp:docPr id="9044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493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906520" cy="2472055"/>
                    </a:xfrm>
                    <a:prstGeom prst="rect">
                      <a:avLst/>
                    </a:prstGeom>
                  </pic:spPr>
                </pic:pic>
              </a:graphicData>
            </a:graphic>
          </wp:anchor>
        </w:drawing>
      </w:r>
    </w:p>
    <w:p w14:paraId="5A31EE22" w14:textId="77777777" w:rsidR="00CF1BCC" w:rsidRPr="00AD5DCE" w:rsidRDefault="00CF1BCC" w:rsidP="00CF1BCC">
      <w:pPr>
        <w:widowControl w:val="0"/>
        <w:ind w:firstLine="720"/>
        <w:rPr>
          <w:rFonts w:eastAsia="Times New Roman"/>
          <w:shd w:val="clear" w:color="auto" w:fill="auto"/>
          <w:lang w:eastAsia="ja-JP"/>
        </w:rPr>
      </w:pPr>
      <w:bookmarkStart w:id="20" w:name="_Toc209906423"/>
      <w:bookmarkStart w:id="21" w:name="_Toc218884345"/>
      <w:r w:rsidRPr="00AD5DCE">
        <w:rPr>
          <w:rFonts w:eastAsia="Times New Roman"/>
          <w:shd w:val="clear" w:color="auto" w:fill="auto"/>
          <w:lang w:eastAsia="ja-JP"/>
        </w:rPr>
        <w:t xml:space="preserve">In the HCC group, codons with high frequencies of amino acid substitution mutations included codons 90, 101, 104, 152, 154, 160, 164, and 165, ranging from 70.0% to 71.1%. Mutation rates at codons 167, 39, and 55 were 56.7%, 64.4%, and 67.8%, respectively. </w:t>
      </w:r>
    </w:p>
    <w:p w14:paraId="5CB9CBC6" w14:textId="16F91CE0" w:rsidR="00556026" w:rsidRPr="00AD5DCE" w:rsidRDefault="00556026" w:rsidP="00CF1BCC">
      <w:pPr>
        <w:widowControl w:val="0"/>
        <w:ind w:firstLine="0"/>
        <w:rPr>
          <w:rFonts w:eastAsiaTheme="majorEastAsia"/>
          <w:b/>
          <w:bCs/>
          <w:i/>
          <w:iCs/>
          <w:color w:val="0D0D0D" w:themeColor="text1" w:themeTint="F2"/>
          <w:lang w:val="vi-VN"/>
        </w:rPr>
      </w:pPr>
      <w:r w:rsidRPr="00AD5DCE">
        <w:rPr>
          <w:b/>
          <w:bCs/>
          <w:i/>
          <w:iCs/>
          <w:noProof/>
          <w:color w:val="0D0D0D" w:themeColor="text1" w:themeTint="F2"/>
        </w:rPr>
        <w:drawing>
          <wp:anchor distT="0" distB="0" distL="114300" distR="114300" simplePos="0" relativeHeight="251706368" behindDoc="1" locked="0" layoutInCell="1" allowOverlap="1" wp14:anchorId="41BC8D80" wp14:editId="798D45D5">
            <wp:simplePos x="0" y="0"/>
            <wp:positionH relativeFrom="margin">
              <wp:align>center</wp:align>
            </wp:positionH>
            <wp:positionV relativeFrom="paragraph">
              <wp:posOffset>180340</wp:posOffset>
            </wp:positionV>
            <wp:extent cx="3157220" cy="1730375"/>
            <wp:effectExtent l="0" t="0" r="5080" b="3175"/>
            <wp:wrapTopAndBottom/>
            <wp:docPr id="2086135275"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b="2639"/>
                    <a:stretch>
                      <a:fillRect/>
                    </a:stretch>
                  </pic:blipFill>
                  <pic:spPr bwMode="auto">
                    <a:xfrm>
                      <a:off x="0" y="0"/>
                      <a:ext cx="3157220" cy="1730375"/>
                    </a:xfrm>
                    <a:prstGeom prst="rect">
                      <a:avLst/>
                    </a:prstGeom>
                    <a:noFill/>
                    <a:ln>
                      <a:noFill/>
                    </a:ln>
                    <a:extLst>
                      <a:ext uri="{53640926-AAD7-44D8-BBD7-CCE9431645EC}">
                        <a14:shadowObscured xmlns:a14="http://schemas.microsoft.com/office/drawing/2010/main"/>
                      </a:ext>
                    </a:extLst>
                  </pic:spPr>
                </pic:pic>
              </a:graphicData>
            </a:graphic>
          </wp:anchor>
        </w:drawing>
      </w:r>
      <w:bookmarkEnd w:id="20"/>
      <w:bookmarkEnd w:id="21"/>
      <w:r w:rsidR="00CF1BCC" w:rsidRPr="00AD5DCE">
        <w:rPr>
          <w:b/>
          <w:bCs/>
          <w:i/>
          <w:iCs/>
          <w:noProof/>
          <w:color w:val="0D0D0D" w:themeColor="text1" w:themeTint="F2"/>
        </w:rPr>
        <w:t xml:space="preserve">3.2.2. Characteristics of the </w:t>
      </w:r>
      <w:r w:rsidR="00374D18" w:rsidRPr="00374D18">
        <w:rPr>
          <w:b/>
          <w:bCs/>
          <w:i/>
          <w:iCs/>
          <w:noProof/>
          <w:color w:val="0D0D0D" w:themeColor="text1" w:themeTint="F2"/>
        </w:rPr>
        <w:t>SLC10A1</w:t>
      </w:r>
      <w:r w:rsidR="00CF1BCC" w:rsidRPr="00AD5DCE">
        <w:rPr>
          <w:b/>
          <w:bCs/>
          <w:i/>
          <w:iCs/>
          <w:noProof/>
          <w:color w:val="0D0D0D" w:themeColor="text1" w:themeTint="F2"/>
        </w:rPr>
        <w:t xml:space="preserve"> Gene</w:t>
      </w:r>
    </w:p>
    <w:p w14:paraId="5D8A70F3" w14:textId="2A364198" w:rsidR="00CF1BCC" w:rsidRPr="00AD5DCE" w:rsidRDefault="00CF1BCC" w:rsidP="00AD5DCE">
      <w:pPr>
        <w:spacing w:line="340" w:lineRule="exact"/>
        <w:ind w:firstLine="720"/>
        <w:jc w:val="center"/>
        <w:rPr>
          <w:b/>
          <w:bCs/>
          <w:color w:val="0D0D0D" w:themeColor="text1" w:themeTint="F2"/>
          <w:lang w:val="vi-VN"/>
        </w:rPr>
      </w:pPr>
      <w:r w:rsidRPr="00AD5DCE">
        <w:rPr>
          <w:b/>
          <w:bCs/>
          <w:color w:val="0D0D0D" w:themeColor="text1" w:themeTint="F2"/>
        </w:rPr>
        <w:t xml:space="preserve">Figure 3.2. Distribution of the </w:t>
      </w:r>
      <w:r w:rsidR="005B5D37">
        <w:rPr>
          <w:b/>
          <w:bCs/>
          <w:color w:val="0D0D0D" w:themeColor="text1" w:themeTint="F2"/>
        </w:rPr>
        <w:t>NTCP S267F variant</w:t>
      </w:r>
      <w:r w:rsidRPr="00AD5DCE">
        <w:rPr>
          <w:b/>
          <w:bCs/>
          <w:color w:val="0D0D0D" w:themeColor="text1" w:themeTint="F2"/>
        </w:rPr>
        <w:t xml:space="preserve"> in the </w:t>
      </w:r>
      <w:r w:rsidR="00496AF8">
        <w:rPr>
          <w:b/>
          <w:bCs/>
          <w:color w:val="0D0D0D" w:themeColor="text1" w:themeTint="F2"/>
        </w:rPr>
        <w:t>study participant</w:t>
      </w:r>
      <w:r w:rsidRPr="00AD5DCE">
        <w:rPr>
          <w:rFonts w:eastAsia="Times New Roman"/>
          <w:b/>
          <w:iCs/>
          <w:noProof/>
          <w:lang w:val="vi-VN"/>
        </w:rPr>
        <w:t>s</w:t>
      </w:r>
    </w:p>
    <w:p w14:paraId="440B0081" w14:textId="7FC8B500" w:rsidR="006771C0" w:rsidRPr="00AD5DCE" w:rsidRDefault="006771C0" w:rsidP="00AD5DCE">
      <w:pPr>
        <w:widowControl w:val="0"/>
        <w:spacing w:line="340" w:lineRule="exact"/>
        <w:ind w:firstLine="720"/>
        <w:rPr>
          <w:b/>
          <w:bCs/>
          <w:color w:val="0D0D0D" w:themeColor="text1" w:themeTint="F2"/>
          <w:spacing w:val="-4"/>
          <w:lang w:val="vi-VN"/>
        </w:rPr>
      </w:pPr>
      <w:r w:rsidRPr="00AD5DCE">
        <w:rPr>
          <w:color w:val="0D0D0D" w:themeColor="text1" w:themeTint="F2"/>
          <w:spacing w:val="-4"/>
        </w:rPr>
        <w:lastRenderedPageBreak/>
        <w:t xml:space="preserve">The prevalence of the NTCP S267F variant (CT genotype) was 16.9% (39/231) in the HCC group, 6.2% (6/96) in the </w:t>
      </w:r>
      <w:r w:rsidR="0049643F">
        <w:rPr>
          <w:color w:val="0D0D0D" w:themeColor="text1" w:themeTint="F2"/>
          <w:spacing w:val="-4"/>
        </w:rPr>
        <w:t>LC</w:t>
      </w:r>
      <w:r w:rsidRPr="00AD5DCE">
        <w:rPr>
          <w:color w:val="0D0D0D" w:themeColor="text1" w:themeTint="F2"/>
          <w:spacing w:val="-4"/>
        </w:rPr>
        <w:t xml:space="preserve"> group, and 5.9% (6/102) in the </w:t>
      </w:r>
      <w:r w:rsidR="00374D18">
        <w:rPr>
          <w:color w:val="0D0D0D" w:themeColor="text1" w:themeTint="F2"/>
          <w:spacing w:val="-4"/>
        </w:rPr>
        <w:t>CHB</w:t>
      </w:r>
      <w:r w:rsidRPr="00AD5DCE">
        <w:rPr>
          <w:color w:val="0D0D0D" w:themeColor="text1" w:themeTint="F2"/>
          <w:spacing w:val="-4"/>
        </w:rPr>
        <w:t xml:space="preserve"> group (p&lt;0.05). In the control group, the prevalence was 19.1% (60/314).</w:t>
      </w:r>
      <w:r w:rsidRPr="00AD5DCE">
        <w:rPr>
          <w:b/>
          <w:bCs/>
          <w:color w:val="0D0D0D" w:themeColor="text1" w:themeTint="F2"/>
          <w:spacing w:val="-4"/>
          <w:lang w:val="vi-VN"/>
        </w:rPr>
        <w:t xml:space="preserve"> </w:t>
      </w:r>
    </w:p>
    <w:p w14:paraId="6F03F45A" w14:textId="3413F184" w:rsidR="00556026" w:rsidRPr="00AD5DCE" w:rsidRDefault="00556026" w:rsidP="00AD5DCE">
      <w:pPr>
        <w:widowControl w:val="0"/>
        <w:spacing w:line="340" w:lineRule="exact"/>
        <w:ind w:firstLine="0"/>
        <w:rPr>
          <w:b/>
          <w:bCs/>
          <w:color w:val="0D0D0D" w:themeColor="text1" w:themeTint="F2"/>
          <w:lang w:val="vi-VN"/>
        </w:rPr>
      </w:pPr>
      <w:r w:rsidRPr="00AD5DCE">
        <w:rPr>
          <w:b/>
          <w:bCs/>
          <w:lang w:val="vi-VN"/>
        </w:rPr>
        <w:t>3</w:t>
      </w:r>
      <w:r w:rsidR="006422DE" w:rsidRPr="00AD5DCE">
        <w:rPr>
          <w:b/>
          <w:bCs/>
          <w:lang w:val="vi-VN"/>
        </w:rPr>
        <w:t>.</w:t>
      </w:r>
      <w:r w:rsidRPr="00AD5DCE">
        <w:rPr>
          <w:b/>
          <w:bCs/>
          <w:lang w:val="vi-VN"/>
        </w:rPr>
        <w:t>3</w:t>
      </w:r>
      <w:r w:rsidR="006422DE" w:rsidRPr="00AD5DCE">
        <w:rPr>
          <w:b/>
          <w:bCs/>
          <w:lang w:val="vi-VN"/>
        </w:rPr>
        <w:t>.</w:t>
      </w:r>
      <w:r w:rsidRPr="00AD5DCE">
        <w:rPr>
          <w:b/>
          <w:bCs/>
          <w:lang w:val="vi-VN"/>
        </w:rPr>
        <w:t xml:space="preserve"> </w:t>
      </w:r>
      <w:r w:rsidR="006771C0" w:rsidRPr="00AD5DCE">
        <w:rPr>
          <w:b/>
          <w:bCs/>
        </w:rPr>
        <w:t xml:space="preserve">Associations </w:t>
      </w:r>
      <w:r w:rsidR="00EF225C" w:rsidRPr="00AD5DCE">
        <w:rPr>
          <w:b/>
          <w:bCs/>
        </w:rPr>
        <w:t>between</w:t>
      </w:r>
      <w:r w:rsidR="006771C0" w:rsidRPr="00AD5DCE">
        <w:rPr>
          <w:b/>
          <w:bCs/>
        </w:rPr>
        <w:t xml:space="preserve"> </w:t>
      </w:r>
      <w:r w:rsidR="00EF225C">
        <w:rPr>
          <w:b/>
          <w:bCs/>
          <w:i/>
          <w:iCs/>
        </w:rPr>
        <w:t>preS</w:t>
      </w:r>
      <w:r w:rsidR="005B5D37" w:rsidRPr="005B5D37">
        <w:rPr>
          <w:b/>
          <w:bCs/>
          <w:i/>
          <w:iCs/>
        </w:rPr>
        <w:t>/S</w:t>
      </w:r>
      <w:r w:rsidR="006771C0" w:rsidRPr="00AD5DCE">
        <w:rPr>
          <w:b/>
          <w:bCs/>
        </w:rPr>
        <w:t xml:space="preserve"> </w:t>
      </w:r>
      <w:r w:rsidR="0049643F">
        <w:rPr>
          <w:b/>
          <w:bCs/>
        </w:rPr>
        <w:t xml:space="preserve">gene </w:t>
      </w:r>
      <w:r w:rsidR="00EF225C" w:rsidRPr="00AD5DCE">
        <w:rPr>
          <w:b/>
          <w:bCs/>
        </w:rPr>
        <w:t>mutations</w:t>
      </w:r>
      <w:r w:rsidR="006771C0" w:rsidRPr="00AD5DCE">
        <w:rPr>
          <w:b/>
          <w:bCs/>
        </w:rPr>
        <w:t xml:space="preserve">, </w:t>
      </w:r>
      <w:r w:rsidR="00374D18" w:rsidRPr="00374D18">
        <w:rPr>
          <w:b/>
          <w:bCs/>
          <w:i/>
          <w:iCs/>
        </w:rPr>
        <w:t>SLC10A1</w:t>
      </w:r>
      <w:r w:rsidR="006771C0" w:rsidRPr="00AD5DCE">
        <w:rPr>
          <w:b/>
          <w:bCs/>
        </w:rPr>
        <w:t xml:space="preserve"> </w:t>
      </w:r>
      <w:r w:rsidR="00EF225C">
        <w:rPr>
          <w:b/>
          <w:bCs/>
        </w:rPr>
        <w:t xml:space="preserve">gene </w:t>
      </w:r>
      <w:r w:rsidR="00EF225C" w:rsidRPr="00AD5DCE">
        <w:rPr>
          <w:b/>
          <w:bCs/>
        </w:rPr>
        <w:t xml:space="preserve">variants, and clinical characteristics in </w:t>
      </w:r>
      <w:r w:rsidR="006771C0" w:rsidRPr="00AD5DCE">
        <w:rPr>
          <w:b/>
          <w:bCs/>
        </w:rPr>
        <w:t>HBsAg-Positive HCC Patients</w:t>
      </w:r>
    </w:p>
    <w:p w14:paraId="05C2149D" w14:textId="3C2EB057" w:rsidR="00556026" w:rsidRPr="00AD5DCE" w:rsidRDefault="006771C0" w:rsidP="00AD5DCE">
      <w:pPr>
        <w:widowControl w:val="0"/>
        <w:spacing w:line="340" w:lineRule="exact"/>
        <w:jc w:val="center"/>
        <w:rPr>
          <w:b/>
          <w:bCs/>
          <w:color w:val="0D0D0D" w:themeColor="text1" w:themeTint="F2"/>
        </w:rPr>
      </w:pPr>
      <w:r w:rsidRPr="00AD5DCE">
        <w:rPr>
          <w:b/>
          <w:bCs/>
          <w:color w:val="0D0D0D" w:themeColor="text1" w:themeTint="F2"/>
        </w:rPr>
        <w:t xml:space="preserve">Table 3.5. Association </w:t>
      </w:r>
      <w:r w:rsidR="00EF225C" w:rsidRPr="00AD5DCE">
        <w:rPr>
          <w:b/>
          <w:bCs/>
          <w:color w:val="0D0D0D" w:themeColor="text1" w:themeTint="F2"/>
        </w:rPr>
        <w:t xml:space="preserve">between </w:t>
      </w:r>
      <w:r w:rsidR="00EF225C">
        <w:rPr>
          <w:b/>
          <w:bCs/>
          <w:i/>
          <w:iCs/>
          <w:color w:val="0D0D0D" w:themeColor="text1" w:themeTint="F2"/>
        </w:rPr>
        <w:t>preS</w:t>
      </w:r>
      <w:r w:rsidR="005B5D37" w:rsidRPr="005B5D37">
        <w:rPr>
          <w:b/>
          <w:bCs/>
          <w:i/>
          <w:iCs/>
          <w:color w:val="0D0D0D" w:themeColor="text1" w:themeTint="F2"/>
        </w:rPr>
        <w:t>/S</w:t>
      </w:r>
      <w:r w:rsidRPr="00AD5DCE">
        <w:rPr>
          <w:b/>
          <w:bCs/>
          <w:color w:val="0D0D0D" w:themeColor="text1" w:themeTint="F2"/>
        </w:rPr>
        <w:t xml:space="preserve"> </w:t>
      </w:r>
      <w:r w:rsidR="00EF225C" w:rsidRPr="00AD5DCE">
        <w:rPr>
          <w:b/>
          <w:bCs/>
          <w:color w:val="0D0D0D" w:themeColor="text1" w:themeTint="F2"/>
        </w:rPr>
        <w:t>mutations (co</w:t>
      </w:r>
      <w:r w:rsidRPr="00AD5DCE">
        <w:rPr>
          <w:b/>
          <w:bCs/>
          <w:color w:val="0D0D0D" w:themeColor="text1" w:themeTint="F2"/>
        </w:rPr>
        <w:t xml:space="preserve">don 20–174) and the </w:t>
      </w:r>
      <w:r w:rsidR="005B5D37">
        <w:rPr>
          <w:b/>
          <w:bCs/>
          <w:color w:val="0D0D0D" w:themeColor="text1" w:themeTint="F2"/>
        </w:rPr>
        <w:t>NTCP S267F variant</w:t>
      </w:r>
    </w:p>
    <w:tbl>
      <w:tblPr>
        <w:tblW w:w="61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95"/>
        <w:gridCol w:w="845"/>
        <w:gridCol w:w="936"/>
        <w:gridCol w:w="1245"/>
        <w:gridCol w:w="979"/>
        <w:gridCol w:w="682"/>
      </w:tblGrid>
      <w:tr w:rsidR="00556026" w:rsidRPr="00AD5DCE" w14:paraId="6C2CB537" w14:textId="77777777" w:rsidTr="00FF3FFF">
        <w:trPr>
          <w:trHeight w:val="568"/>
          <w:jc w:val="center"/>
        </w:trPr>
        <w:tc>
          <w:tcPr>
            <w:tcW w:w="2340" w:type="dxa"/>
            <w:gridSpan w:val="2"/>
            <w:vMerge w:val="restart"/>
            <w:tcBorders>
              <w:right w:val="single" w:sz="4" w:space="0" w:color="auto"/>
            </w:tcBorders>
            <w:vAlign w:val="center"/>
          </w:tcPr>
          <w:p w14:paraId="196B6627" w14:textId="77777777" w:rsidR="006771C0" w:rsidRPr="00AD5DCE" w:rsidRDefault="006771C0" w:rsidP="006771C0">
            <w:pPr>
              <w:ind w:firstLine="0"/>
              <w:jc w:val="center"/>
              <w:rPr>
                <w:b/>
                <w:bCs/>
                <w:lang w:val="vi-VN"/>
              </w:rPr>
            </w:pPr>
            <w:r w:rsidRPr="00AD5DCE">
              <w:rPr>
                <w:b/>
                <w:bCs/>
              </w:rPr>
              <w:t>Mutations</w:t>
            </w:r>
          </w:p>
          <w:p w14:paraId="342F467E" w14:textId="42BE4BB6" w:rsidR="006771C0" w:rsidRPr="00AD5DCE" w:rsidRDefault="006771C0" w:rsidP="006771C0">
            <w:pPr>
              <w:ind w:firstLine="0"/>
              <w:jc w:val="center"/>
              <w:rPr>
                <w:b/>
                <w:bCs/>
                <w:shd w:val="clear" w:color="auto" w:fill="auto"/>
              </w:rPr>
            </w:pPr>
            <w:r w:rsidRPr="00AD5DCE">
              <w:rPr>
                <w:b/>
                <w:bCs/>
              </w:rPr>
              <w:t xml:space="preserve"> (n=273)</w:t>
            </w:r>
          </w:p>
          <w:p w14:paraId="120B3944" w14:textId="4A154680" w:rsidR="00556026" w:rsidRPr="00AD5DCE" w:rsidRDefault="00556026" w:rsidP="00FF3FFF">
            <w:pPr>
              <w:widowControl w:val="0"/>
              <w:autoSpaceDE w:val="0"/>
              <w:autoSpaceDN w:val="0"/>
              <w:spacing w:line="240" w:lineRule="auto"/>
              <w:jc w:val="center"/>
              <w:rPr>
                <w:rFonts w:eastAsia="Times New Roman"/>
                <w:b/>
                <w:color w:val="0D0D0D" w:themeColor="text1" w:themeTint="F2"/>
              </w:rPr>
            </w:pPr>
          </w:p>
        </w:tc>
        <w:tc>
          <w:tcPr>
            <w:tcW w:w="2181" w:type="dxa"/>
            <w:gridSpan w:val="2"/>
            <w:tcBorders>
              <w:left w:val="single" w:sz="4" w:space="0" w:color="auto"/>
            </w:tcBorders>
            <w:vAlign w:val="center"/>
          </w:tcPr>
          <w:p w14:paraId="53A098BB" w14:textId="77777777"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b/>
                <w:color w:val="0D0D0D" w:themeColor="text1" w:themeTint="F2"/>
              </w:rPr>
              <w:t xml:space="preserve">NTCP S267F </w:t>
            </w:r>
            <w:r w:rsidRPr="00AD5DCE">
              <w:rPr>
                <w:rFonts w:eastAsia="Times New Roman"/>
                <w:bCs/>
                <w:color w:val="0D0D0D" w:themeColor="text1" w:themeTint="F2"/>
              </w:rPr>
              <w:t>n (%)</w:t>
            </w:r>
          </w:p>
        </w:tc>
        <w:tc>
          <w:tcPr>
            <w:tcW w:w="979" w:type="dxa"/>
            <w:vMerge w:val="restart"/>
            <w:vAlign w:val="center"/>
          </w:tcPr>
          <w:p w14:paraId="531017A9" w14:textId="77777777" w:rsidR="00556026" w:rsidRPr="00AD5DCE" w:rsidRDefault="00556026" w:rsidP="00FF3FFF">
            <w:pPr>
              <w:widowControl w:val="0"/>
              <w:autoSpaceDE w:val="0"/>
              <w:autoSpaceDN w:val="0"/>
              <w:spacing w:line="240" w:lineRule="auto"/>
              <w:ind w:firstLine="0"/>
              <w:jc w:val="center"/>
              <w:rPr>
                <w:rFonts w:eastAsia="Times New Roman"/>
                <w:b/>
                <w:bCs/>
                <w:color w:val="0D0D0D" w:themeColor="text1" w:themeTint="F2"/>
              </w:rPr>
            </w:pPr>
            <w:r w:rsidRPr="00AD5DCE">
              <w:rPr>
                <w:rFonts w:eastAsia="Times New Roman"/>
                <w:b/>
                <w:bCs/>
                <w:color w:val="0D0D0D" w:themeColor="text1" w:themeTint="F2"/>
              </w:rPr>
              <w:t>OR</w:t>
            </w:r>
            <w:r w:rsidRPr="00AD5DCE">
              <w:rPr>
                <w:rFonts w:eastAsia="Times New Roman"/>
                <w:b/>
                <w:bCs/>
                <w:color w:val="0D0D0D" w:themeColor="text1" w:themeTint="F2"/>
                <w:vertAlign w:val="superscript"/>
              </w:rPr>
              <w:t>*</w:t>
            </w:r>
          </w:p>
          <w:p w14:paraId="2B6888C2" w14:textId="77777777"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position w:val="-8"/>
              </w:rPr>
            </w:pPr>
            <w:r w:rsidRPr="00AD5DCE">
              <w:rPr>
                <w:rFonts w:eastAsia="Times New Roman"/>
                <w:b/>
                <w:bCs/>
                <w:color w:val="0D0D0D" w:themeColor="text1" w:themeTint="F2"/>
              </w:rPr>
              <w:t>(95% CI)</w:t>
            </w:r>
          </w:p>
        </w:tc>
        <w:tc>
          <w:tcPr>
            <w:tcW w:w="682" w:type="dxa"/>
            <w:vMerge w:val="restart"/>
            <w:vAlign w:val="center"/>
          </w:tcPr>
          <w:p w14:paraId="64535690" w14:textId="77777777"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b/>
                <w:color w:val="0D0D0D" w:themeColor="text1" w:themeTint="F2"/>
                <w:position w:val="-8"/>
              </w:rPr>
              <w:t>p</w:t>
            </w:r>
          </w:p>
        </w:tc>
      </w:tr>
      <w:tr w:rsidR="00556026" w:rsidRPr="00AD5DCE" w14:paraId="38F32E84" w14:textId="77777777" w:rsidTr="00FF3FFF">
        <w:trPr>
          <w:trHeight w:val="676"/>
          <w:jc w:val="center"/>
        </w:trPr>
        <w:tc>
          <w:tcPr>
            <w:tcW w:w="2340" w:type="dxa"/>
            <w:gridSpan w:val="2"/>
            <w:vMerge/>
            <w:tcBorders>
              <w:top w:val="nil"/>
              <w:right w:val="single" w:sz="4" w:space="0" w:color="auto"/>
            </w:tcBorders>
            <w:vAlign w:val="center"/>
          </w:tcPr>
          <w:p w14:paraId="0A30F632" w14:textId="77777777" w:rsidR="00556026" w:rsidRPr="00AD5DCE" w:rsidRDefault="00556026" w:rsidP="00FF3FFF">
            <w:pPr>
              <w:widowControl w:val="0"/>
              <w:spacing w:line="240" w:lineRule="auto"/>
              <w:jc w:val="center"/>
              <w:rPr>
                <w:color w:val="0D0D0D" w:themeColor="text1" w:themeTint="F2"/>
              </w:rPr>
            </w:pPr>
          </w:p>
        </w:tc>
        <w:tc>
          <w:tcPr>
            <w:tcW w:w="936" w:type="dxa"/>
            <w:tcBorders>
              <w:left w:val="single" w:sz="4" w:space="0" w:color="auto"/>
              <w:right w:val="single" w:sz="4" w:space="0" w:color="auto"/>
            </w:tcBorders>
            <w:vAlign w:val="center"/>
          </w:tcPr>
          <w:p w14:paraId="13618F58" w14:textId="1CCBFB05" w:rsidR="00556026" w:rsidRPr="00AD5DCE" w:rsidRDefault="006771C0"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b/>
                <w:color w:val="0D0D0D" w:themeColor="text1" w:themeTint="F2"/>
              </w:rPr>
              <w:t>Yes</w:t>
            </w:r>
            <w:r w:rsidR="00556026" w:rsidRPr="00AD5DCE">
              <w:rPr>
                <w:rFonts w:eastAsia="Times New Roman"/>
                <w:b/>
                <w:color w:val="0D0D0D" w:themeColor="text1" w:themeTint="F2"/>
              </w:rPr>
              <w:t xml:space="preserve"> (CT)</w:t>
            </w:r>
          </w:p>
          <w:p w14:paraId="20C4D8C5" w14:textId="77777777"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bCs/>
                <w:color w:val="0D0D0D" w:themeColor="text1" w:themeTint="F2"/>
              </w:rPr>
              <w:t xml:space="preserve"> (n=26)</w:t>
            </w:r>
          </w:p>
        </w:tc>
        <w:tc>
          <w:tcPr>
            <w:tcW w:w="1245" w:type="dxa"/>
            <w:tcBorders>
              <w:left w:val="single" w:sz="4" w:space="0" w:color="auto"/>
            </w:tcBorders>
            <w:vAlign w:val="center"/>
          </w:tcPr>
          <w:p w14:paraId="3ABCC114" w14:textId="75D64AE3" w:rsidR="00556026" w:rsidRPr="00AD5DCE" w:rsidRDefault="006771C0"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b/>
                <w:color w:val="0D0D0D" w:themeColor="text1" w:themeTint="F2"/>
              </w:rPr>
              <w:t>No</w:t>
            </w:r>
            <w:r w:rsidR="00556026" w:rsidRPr="00AD5DCE">
              <w:rPr>
                <w:rFonts w:eastAsia="Times New Roman"/>
                <w:b/>
                <w:color w:val="0D0D0D" w:themeColor="text1" w:themeTint="F2"/>
              </w:rPr>
              <w:t xml:space="preserve"> (CC)</w:t>
            </w:r>
          </w:p>
          <w:p w14:paraId="7647E8FD" w14:textId="77777777" w:rsidR="00556026" w:rsidRPr="00AD5DCE" w:rsidRDefault="00556026" w:rsidP="00FF3FFF">
            <w:pPr>
              <w:widowControl w:val="0"/>
              <w:autoSpaceDE w:val="0"/>
              <w:autoSpaceDN w:val="0"/>
              <w:spacing w:line="240" w:lineRule="auto"/>
              <w:ind w:firstLine="0"/>
              <w:jc w:val="center"/>
              <w:rPr>
                <w:rFonts w:eastAsia="Times New Roman"/>
                <w:b/>
                <w:color w:val="0D0D0D" w:themeColor="text1" w:themeTint="F2"/>
              </w:rPr>
            </w:pPr>
            <w:r w:rsidRPr="00AD5DCE">
              <w:rPr>
                <w:rFonts w:eastAsia="Times New Roman"/>
                <w:bCs/>
                <w:color w:val="0D0D0D" w:themeColor="text1" w:themeTint="F2"/>
              </w:rPr>
              <w:t>(n=247)</w:t>
            </w:r>
          </w:p>
        </w:tc>
        <w:tc>
          <w:tcPr>
            <w:tcW w:w="979" w:type="dxa"/>
            <w:vMerge/>
            <w:vAlign w:val="center"/>
          </w:tcPr>
          <w:p w14:paraId="3FC2321D" w14:textId="77777777" w:rsidR="00556026" w:rsidRPr="00AD5DCE" w:rsidRDefault="00556026" w:rsidP="00FF3FFF">
            <w:pPr>
              <w:widowControl w:val="0"/>
              <w:spacing w:line="240" w:lineRule="auto"/>
              <w:ind w:firstLine="0"/>
              <w:jc w:val="center"/>
              <w:rPr>
                <w:color w:val="0D0D0D" w:themeColor="text1" w:themeTint="F2"/>
              </w:rPr>
            </w:pPr>
          </w:p>
        </w:tc>
        <w:tc>
          <w:tcPr>
            <w:tcW w:w="682" w:type="dxa"/>
            <w:vMerge/>
            <w:tcBorders>
              <w:top w:val="nil"/>
            </w:tcBorders>
            <w:vAlign w:val="center"/>
          </w:tcPr>
          <w:p w14:paraId="18095449" w14:textId="77777777" w:rsidR="00556026" w:rsidRPr="00AD5DCE" w:rsidRDefault="00556026" w:rsidP="00FF3FFF">
            <w:pPr>
              <w:widowControl w:val="0"/>
              <w:spacing w:line="240" w:lineRule="auto"/>
              <w:jc w:val="center"/>
              <w:rPr>
                <w:color w:val="0D0D0D" w:themeColor="text1" w:themeTint="F2"/>
              </w:rPr>
            </w:pPr>
          </w:p>
        </w:tc>
      </w:tr>
      <w:tr w:rsidR="00556026" w:rsidRPr="00AD5DCE" w14:paraId="7F87CC9C" w14:textId="77777777" w:rsidTr="00FF3FFF">
        <w:trPr>
          <w:trHeight w:val="432"/>
          <w:jc w:val="center"/>
        </w:trPr>
        <w:tc>
          <w:tcPr>
            <w:tcW w:w="1495" w:type="dxa"/>
            <w:vMerge w:val="restart"/>
            <w:tcBorders>
              <w:right w:val="single" w:sz="4" w:space="0" w:color="auto"/>
            </w:tcBorders>
            <w:vAlign w:val="center"/>
          </w:tcPr>
          <w:p w14:paraId="644C480E" w14:textId="77777777" w:rsidR="00556026" w:rsidRPr="00AD5DCE" w:rsidRDefault="00556026" w:rsidP="00FF3FFF">
            <w:pPr>
              <w:widowControl w:val="0"/>
              <w:autoSpaceDE w:val="0"/>
              <w:autoSpaceDN w:val="0"/>
              <w:spacing w:line="240" w:lineRule="auto"/>
              <w:ind w:firstLine="80"/>
              <w:jc w:val="left"/>
              <w:rPr>
                <w:rFonts w:eastAsia="Times New Roman"/>
                <w:color w:val="0D0D0D" w:themeColor="text1" w:themeTint="F2"/>
              </w:rPr>
            </w:pPr>
            <w:r w:rsidRPr="00AD5DCE">
              <w:rPr>
                <w:rFonts w:eastAsia="Times New Roman"/>
                <w:color w:val="0D0D0D" w:themeColor="text1" w:themeTint="F2"/>
              </w:rPr>
              <w:t>T125P/A/I/N/S</w:t>
            </w:r>
          </w:p>
        </w:tc>
        <w:tc>
          <w:tcPr>
            <w:tcW w:w="845" w:type="dxa"/>
            <w:tcBorders>
              <w:left w:val="single" w:sz="4" w:space="0" w:color="auto"/>
            </w:tcBorders>
            <w:vAlign w:val="center"/>
          </w:tcPr>
          <w:p w14:paraId="5D753393" w14:textId="6C8C0CC8" w:rsidR="00556026" w:rsidRPr="00AD5DCE" w:rsidRDefault="006771C0" w:rsidP="00FF3FFF">
            <w:pPr>
              <w:widowControl w:val="0"/>
              <w:autoSpaceDE w:val="0"/>
              <w:autoSpaceDN w:val="0"/>
              <w:spacing w:line="240" w:lineRule="auto"/>
              <w:ind w:left="103" w:hanging="13"/>
              <w:jc w:val="left"/>
              <w:rPr>
                <w:rFonts w:eastAsia="Times New Roman"/>
                <w:color w:val="0D0D0D" w:themeColor="text1" w:themeTint="F2"/>
              </w:rPr>
            </w:pPr>
            <w:r w:rsidRPr="00AD5DCE">
              <w:rPr>
                <w:rFonts w:eastAsia="Times New Roman"/>
                <w:color w:val="0D0D0D" w:themeColor="text1" w:themeTint="F2"/>
              </w:rPr>
              <w:t>Yes</w:t>
            </w:r>
          </w:p>
        </w:tc>
        <w:tc>
          <w:tcPr>
            <w:tcW w:w="936" w:type="dxa"/>
          </w:tcPr>
          <w:p w14:paraId="74487D38" w14:textId="35CA1D09" w:rsidR="00556026" w:rsidRPr="00AD5DCE" w:rsidRDefault="00556026" w:rsidP="00FF3FFF">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2 (7</w:t>
            </w:r>
            <w:r w:rsidR="006422DE" w:rsidRPr="00AD5DCE">
              <w:rPr>
                <w:color w:val="0D0D0D" w:themeColor="text1" w:themeTint="F2"/>
              </w:rPr>
              <w:t>.</w:t>
            </w:r>
            <w:r w:rsidRPr="00AD5DCE">
              <w:rPr>
                <w:color w:val="0D0D0D" w:themeColor="text1" w:themeTint="F2"/>
              </w:rPr>
              <w:t>7)</w:t>
            </w:r>
          </w:p>
        </w:tc>
        <w:tc>
          <w:tcPr>
            <w:tcW w:w="1245" w:type="dxa"/>
          </w:tcPr>
          <w:p w14:paraId="1BF8BFFD" w14:textId="1E6FCC2B" w:rsidR="00556026" w:rsidRPr="00AD5DCE" w:rsidRDefault="00556026" w:rsidP="00FF3FFF">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71 (28</w:t>
            </w:r>
            <w:r w:rsidR="006422DE" w:rsidRPr="00AD5DCE">
              <w:rPr>
                <w:color w:val="0D0D0D" w:themeColor="text1" w:themeTint="F2"/>
              </w:rPr>
              <w:t>.</w:t>
            </w:r>
            <w:r w:rsidRPr="00AD5DCE">
              <w:rPr>
                <w:color w:val="0D0D0D" w:themeColor="text1" w:themeTint="F2"/>
              </w:rPr>
              <w:t>7)</w:t>
            </w:r>
          </w:p>
        </w:tc>
        <w:tc>
          <w:tcPr>
            <w:tcW w:w="979" w:type="dxa"/>
            <w:vMerge w:val="restart"/>
            <w:vAlign w:val="center"/>
          </w:tcPr>
          <w:p w14:paraId="30E9FD17" w14:textId="6EDA2BBD" w:rsidR="00556026" w:rsidRPr="00AD5DCE" w:rsidRDefault="00556026" w:rsidP="00FF3FFF">
            <w:pPr>
              <w:widowControl w:val="0"/>
              <w:autoSpaceDE w:val="0"/>
              <w:autoSpaceDN w:val="0"/>
              <w:spacing w:line="240" w:lineRule="auto"/>
              <w:ind w:hanging="13"/>
              <w:jc w:val="center"/>
              <w:rPr>
                <w:rFonts w:eastAsia="Times New Roman"/>
                <w:color w:val="0D0D0D" w:themeColor="text1" w:themeTint="F2"/>
                <w:lang w:val="vi-VN"/>
              </w:rPr>
            </w:pPr>
            <w:r w:rsidRPr="00AD5DCE">
              <w:rPr>
                <w:rFonts w:eastAsia="Times New Roman"/>
                <w:color w:val="0D0D0D" w:themeColor="text1" w:themeTint="F2"/>
              </w:rPr>
              <w:t>0</w:t>
            </w:r>
            <w:r w:rsidR="006422DE" w:rsidRPr="00AD5DCE">
              <w:rPr>
                <w:rFonts w:eastAsia="Times New Roman"/>
                <w:color w:val="0D0D0D" w:themeColor="text1" w:themeTint="F2"/>
              </w:rPr>
              <w:t>.</w:t>
            </w:r>
            <w:r w:rsidRPr="00AD5DCE">
              <w:rPr>
                <w:rFonts w:eastAsia="Times New Roman"/>
                <w:color w:val="0D0D0D" w:themeColor="text1" w:themeTint="F2"/>
              </w:rPr>
              <w:t xml:space="preserve">2 </w:t>
            </w:r>
          </w:p>
          <w:p w14:paraId="1B9F2D54" w14:textId="390B518B" w:rsidR="00556026" w:rsidRPr="00AD5DCE" w:rsidRDefault="00556026" w:rsidP="00FF3FFF">
            <w:pPr>
              <w:widowControl w:val="0"/>
              <w:autoSpaceDE w:val="0"/>
              <w:autoSpaceDN w:val="0"/>
              <w:spacing w:line="240" w:lineRule="auto"/>
              <w:ind w:hanging="13"/>
              <w:jc w:val="center"/>
              <w:rPr>
                <w:rFonts w:eastAsia="Times New Roman"/>
                <w:color w:val="0D0D0D" w:themeColor="text1" w:themeTint="F2"/>
              </w:rPr>
            </w:pPr>
            <w:r w:rsidRPr="00AD5DCE">
              <w:rPr>
                <w:rFonts w:eastAsia="Times New Roman"/>
                <w:color w:val="0D0D0D" w:themeColor="text1" w:themeTint="F2"/>
              </w:rPr>
              <w:t>(0</w:t>
            </w:r>
            <w:r w:rsidR="006422DE" w:rsidRPr="00AD5DCE">
              <w:rPr>
                <w:rFonts w:eastAsia="Times New Roman"/>
                <w:color w:val="0D0D0D" w:themeColor="text1" w:themeTint="F2"/>
              </w:rPr>
              <w:t>.</w:t>
            </w:r>
            <w:r w:rsidRPr="00AD5DCE">
              <w:rPr>
                <w:rFonts w:eastAsia="Times New Roman"/>
                <w:color w:val="0D0D0D" w:themeColor="text1" w:themeTint="F2"/>
              </w:rPr>
              <w:t>1-0</w:t>
            </w:r>
            <w:r w:rsidR="006422DE" w:rsidRPr="00AD5DCE">
              <w:rPr>
                <w:rFonts w:eastAsia="Times New Roman"/>
                <w:color w:val="0D0D0D" w:themeColor="text1" w:themeTint="F2"/>
              </w:rPr>
              <w:t>.</w:t>
            </w:r>
            <w:r w:rsidRPr="00AD5DCE">
              <w:rPr>
                <w:rFonts w:eastAsia="Times New Roman"/>
                <w:color w:val="0D0D0D" w:themeColor="text1" w:themeTint="F2"/>
              </w:rPr>
              <w:t>9)</w:t>
            </w:r>
          </w:p>
        </w:tc>
        <w:tc>
          <w:tcPr>
            <w:tcW w:w="682" w:type="dxa"/>
            <w:vMerge w:val="restart"/>
            <w:vAlign w:val="center"/>
          </w:tcPr>
          <w:p w14:paraId="449ABE6A" w14:textId="09FEE23D" w:rsidR="00556026" w:rsidRPr="00AD5DCE" w:rsidRDefault="00556026" w:rsidP="00FF3FFF">
            <w:pPr>
              <w:widowControl w:val="0"/>
              <w:autoSpaceDE w:val="0"/>
              <w:autoSpaceDN w:val="0"/>
              <w:spacing w:line="240" w:lineRule="auto"/>
              <w:ind w:hanging="13"/>
              <w:jc w:val="center"/>
              <w:rPr>
                <w:rFonts w:eastAsia="Times New Roman"/>
                <w:b/>
                <w:bCs/>
                <w:color w:val="0D0D0D" w:themeColor="text1" w:themeTint="F2"/>
              </w:rPr>
            </w:pPr>
            <w:r w:rsidRPr="00AD5DCE">
              <w:rPr>
                <w:rFonts w:eastAsia="Times New Roman"/>
                <w:b/>
                <w:bCs/>
                <w:color w:val="0D0D0D" w:themeColor="text1" w:themeTint="F2"/>
              </w:rPr>
              <w:t>0</w:t>
            </w:r>
            <w:r w:rsidR="006422DE" w:rsidRPr="00AD5DCE">
              <w:rPr>
                <w:rFonts w:eastAsia="Times New Roman"/>
                <w:b/>
                <w:bCs/>
                <w:color w:val="0D0D0D" w:themeColor="text1" w:themeTint="F2"/>
              </w:rPr>
              <w:t>.</w:t>
            </w:r>
            <w:r w:rsidRPr="00AD5DCE">
              <w:rPr>
                <w:rFonts w:eastAsia="Times New Roman"/>
                <w:b/>
                <w:bCs/>
                <w:color w:val="0D0D0D" w:themeColor="text1" w:themeTint="F2"/>
              </w:rPr>
              <w:t>035</w:t>
            </w:r>
          </w:p>
        </w:tc>
      </w:tr>
      <w:tr w:rsidR="00556026" w:rsidRPr="00AD5DCE" w14:paraId="20617BC8" w14:textId="77777777" w:rsidTr="00FF3FFF">
        <w:trPr>
          <w:trHeight w:val="432"/>
          <w:jc w:val="center"/>
        </w:trPr>
        <w:tc>
          <w:tcPr>
            <w:tcW w:w="1495" w:type="dxa"/>
            <w:vMerge/>
            <w:tcBorders>
              <w:right w:val="single" w:sz="4" w:space="0" w:color="auto"/>
            </w:tcBorders>
            <w:vAlign w:val="center"/>
          </w:tcPr>
          <w:p w14:paraId="17C1704A" w14:textId="77777777" w:rsidR="00556026" w:rsidRPr="00AD5DCE" w:rsidRDefault="00556026" w:rsidP="00FF3FFF">
            <w:pPr>
              <w:widowControl w:val="0"/>
              <w:autoSpaceDE w:val="0"/>
              <w:autoSpaceDN w:val="0"/>
              <w:spacing w:line="240" w:lineRule="auto"/>
              <w:ind w:firstLine="80"/>
              <w:jc w:val="left"/>
              <w:rPr>
                <w:rFonts w:eastAsia="Times New Roman"/>
                <w:color w:val="0D0D0D" w:themeColor="text1" w:themeTint="F2"/>
              </w:rPr>
            </w:pPr>
          </w:p>
        </w:tc>
        <w:tc>
          <w:tcPr>
            <w:tcW w:w="845" w:type="dxa"/>
            <w:tcBorders>
              <w:left w:val="single" w:sz="4" w:space="0" w:color="auto"/>
            </w:tcBorders>
            <w:vAlign w:val="center"/>
          </w:tcPr>
          <w:p w14:paraId="72FD84D9" w14:textId="66802EDA" w:rsidR="00556026" w:rsidRPr="00AD5DCE" w:rsidRDefault="006771C0" w:rsidP="00FF3FFF">
            <w:pPr>
              <w:widowControl w:val="0"/>
              <w:autoSpaceDE w:val="0"/>
              <w:autoSpaceDN w:val="0"/>
              <w:spacing w:line="240" w:lineRule="auto"/>
              <w:ind w:left="103" w:hanging="13"/>
              <w:jc w:val="left"/>
              <w:rPr>
                <w:rFonts w:eastAsia="Times New Roman"/>
                <w:color w:val="0D0D0D" w:themeColor="text1" w:themeTint="F2"/>
              </w:rPr>
            </w:pPr>
            <w:r w:rsidRPr="00AD5DCE">
              <w:rPr>
                <w:rFonts w:eastAsia="Times New Roman"/>
                <w:color w:val="0D0D0D" w:themeColor="text1" w:themeTint="F2"/>
              </w:rPr>
              <w:t>No</w:t>
            </w:r>
          </w:p>
        </w:tc>
        <w:tc>
          <w:tcPr>
            <w:tcW w:w="936" w:type="dxa"/>
          </w:tcPr>
          <w:p w14:paraId="02DE5AFE" w14:textId="519F1DE9" w:rsidR="00556026" w:rsidRPr="00AD5DCE" w:rsidRDefault="00556026" w:rsidP="00FF3FFF">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24 (92</w:t>
            </w:r>
            <w:r w:rsidR="006422DE" w:rsidRPr="00AD5DCE">
              <w:rPr>
                <w:color w:val="0D0D0D" w:themeColor="text1" w:themeTint="F2"/>
              </w:rPr>
              <w:t>.</w:t>
            </w:r>
            <w:r w:rsidRPr="00AD5DCE">
              <w:rPr>
                <w:color w:val="0D0D0D" w:themeColor="text1" w:themeTint="F2"/>
              </w:rPr>
              <w:t>3)</w:t>
            </w:r>
          </w:p>
        </w:tc>
        <w:tc>
          <w:tcPr>
            <w:tcW w:w="1245" w:type="dxa"/>
          </w:tcPr>
          <w:p w14:paraId="275573F4" w14:textId="42CA5C8D" w:rsidR="00556026" w:rsidRPr="00AD5DCE" w:rsidRDefault="00556026" w:rsidP="00FF3FFF">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176 (71</w:t>
            </w:r>
            <w:r w:rsidR="006422DE" w:rsidRPr="00AD5DCE">
              <w:rPr>
                <w:color w:val="0D0D0D" w:themeColor="text1" w:themeTint="F2"/>
              </w:rPr>
              <w:t>.</w:t>
            </w:r>
            <w:r w:rsidRPr="00AD5DCE">
              <w:rPr>
                <w:color w:val="0D0D0D" w:themeColor="text1" w:themeTint="F2"/>
              </w:rPr>
              <w:t>3)</w:t>
            </w:r>
          </w:p>
        </w:tc>
        <w:tc>
          <w:tcPr>
            <w:tcW w:w="979" w:type="dxa"/>
            <w:vMerge/>
            <w:vAlign w:val="center"/>
          </w:tcPr>
          <w:p w14:paraId="144E1B88" w14:textId="77777777" w:rsidR="00556026" w:rsidRPr="00AD5DCE" w:rsidRDefault="00556026" w:rsidP="00FF3FFF">
            <w:pPr>
              <w:widowControl w:val="0"/>
              <w:autoSpaceDE w:val="0"/>
              <w:autoSpaceDN w:val="0"/>
              <w:spacing w:line="240" w:lineRule="auto"/>
              <w:ind w:hanging="13"/>
              <w:jc w:val="center"/>
              <w:rPr>
                <w:rFonts w:eastAsia="Times New Roman"/>
                <w:color w:val="0D0D0D" w:themeColor="text1" w:themeTint="F2"/>
              </w:rPr>
            </w:pPr>
          </w:p>
        </w:tc>
        <w:tc>
          <w:tcPr>
            <w:tcW w:w="682" w:type="dxa"/>
            <w:vMerge/>
            <w:vAlign w:val="center"/>
          </w:tcPr>
          <w:p w14:paraId="1382EA41" w14:textId="77777777" w:rsidR="00556026" w:rsidRPr="00AD5DCE" w:rsidRDefault="00556026" w:rsidP="00FF3FFF">
            <w:pPr>
              <w:widowControl w:val="0"/>
              <w:autoSpaceDE w:val="0"/>
              <w:autoSpaceDN w:val="0"/>
              <w:spacing w:line="240" w:lineRule="auto"/>
              <w:ind w:hanging="13"/>
              <w:jc w:val="center"/>
              <w:rPr>
                <w:rFonts w:eastAsia="Times New Roman"/>
                <w:b/>
                <w:bCs/>
                <w:color w:val="0D0D0D" w:themeColor="text1" w:themeTint="F2"/>
              </w:rPr>
            </w:pPr>
          </w:p>
        </w:tc>
      </w:tr>
      <w:tr w:rsidR="006771C0" w:rsidRPr="00AD5DCE" w14:paraId="5A86AE70" w14:textId="77777777" w:rsidTr="00FF3FFF">
        <w:trPr>
          <w:trHeight w:val="432"/>
          <w:jc w:val="center"/>
        </w:trPr>
        <w:tc>
          <w:tcPr>
            <w:tcW w:w="1495" w:type="dxa"/>
            <w:vMerge w:val="restart"/>
            <w:tcBorders>
              <w:right w:val="single" w:sz="4" w:space="0" w:color="auto"/>
            </w:tcBorders>
            <w:vAlign w:val="center"/>
          </w:tcPr>
          <w:p w14:paraId="56D67C06" w14:textId="77777777" w:rsidR="006771C0" w:rsidRPr="00AD5DCE" w:rsidRDefault="006771C0" w:rsidP="006771C0">
            <w:pPr>
              <w:widowControl w:val="0"/>
              <w:autoSpaceDE w:val="0"/>
              <w:autoSpaceDN w:val="0"/>
              <w:spacing w:line="240" w:lineRule="auto"/>
              <w:ind w:firstLine="80"/>
              <w:jc w:val="left"/>
              <w:rPr>
                <w:rFonts w:eastAsia="Times New Roman"/>
                <w:color w:val="0D0D0D" w:themeColor="text1" w:themeTint="F2"/>
              </w:rPr>
            </w:pPr>
            <w:r w:rsidRPr="00AD5DCE">
              <w:rPr>
                <w:rFonts w:eastAsia="Times New Roman"/>
                <w:color w:val="0D0D0D" w:themeColor="text1" w:themeTint="F2"/>
              </w:rPr>
              <w:t>T167K/M/R</w:t>
            </w:r>
          </w:p>
        </w:tc>
        <w:tc>
          <w:tcPr>
            <w:tcW w:w="845" w:type="dxa"/>
            <w:tcBorders>
              <w:left w:val="single" w:sz="4" w:space="0" w:color="auto"/>
            </w:tcBorders>
            <w:vAlign w:val="center"/>
          </w:tcPr>
          <w:p w14:paraId="7D60E03F" w14:textId="3D9C22C8" w:rsidR="006771C0" w:rsidRPr="00AD5DCE" w:rsidRDefault="006771C0" w:rsidP="006771C0">
            <w:pPr>
              <w:widowControl w:val="0"/>
              <w:autoSpaceDE w:val="0"/>
              <w:autoSpaceDN w:val="0"/>
              <w:spacing w:line="240" w:lineRule="auto"/>
              <w:ind w:left="103" w:hanging="13"/>
              <w:jc w:val="left"/>
              <w:rPr>
                <w:rFonts w:eastAsia="Times New Roman"/>
                <w:color w:val="0D0D0D" w:themeColor="text1" w:themeTint="F2"/>
              </w:rPr>
            </w:pPr>
            <w:r w:rsidRPr="00AD5DCE">
              <w:rPr>
                <w:rFonts w:eastAsia="Times New Roman"/>
                <w:color w:val="0D0D0D" w:themeColor="text1" w:themeTint="F2"/>
              </w:rPr>
              <w:t>Yes</w:t>
            </w:r>
          </w:p>
        </w:tc>
        <w:tc>
          <w:tcPr>
            <w:tcW w:w="936" w:type="dxa"/>
          </w:tcPr>
          <w:p w14:paraId="0887CA93" w14:textId="7A163DE6"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20 (76.9)</w:t>
            </w:r>
          </w:p>
        </w:tc>
        <w:tc>
          <w:tcPr>
            <w:tcW w:w="1245" w:type="dxa"/>
          </w:tcPr>
          <w:p w14:paraId="5C731C47" w14:textId="4F325400"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139 (56.3)</w:t>
            </w:r>
          </w:p>
        </w:tc>
        <w:tc>
          <w:tcPr>
            <w:tcW w:w="979" w:type="dxa"/>
            <w:vMerge w:val="restart"/>
            <w:vAlign w:val="center"/>
          </w:tcPr>
          <w:p w14:paraId="4710B672" w14:textId="5B2B208B"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lang w:val="vi-VN"/>
              </w:rPr>
            </w:pPr>
            <w:r w:rsidRPr="00AD5DCE">
              <w:rPr>
                <w:rFonts w:eastAsia="Times New Roman"/>
                <w:color w:val="0D0D0D" w:themeColor="text1" w:themeTint="F2"/>
              </w:rPr>
              <w:t xml:space="preserve">2.8 </w:t>
            </w:r>
          </w:p>
          <w:p w14:paraId="67340768" w14:textId="23DA92DC"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rFonts w:eastAsia="Times New Roman"/>
                <w:color w:val="0D0D0D" w:themeColor="text1" w:themeTint="F2"/>
              </w:rPr>
              <w:t>(1.1-7.2)</w:t>
            </w:r>
          </w:p>
        </w:tc>
        <w:tc>
          <w:tcPr>
            <w:tcW w:w="682" w:type="dxa"/>
            <w:vMerge w:val="restart"/>
            <w:vAlign w:val="center"/>
          </w:tcPr>
          <w:p w14:paraId="520D125F" w14:textId="34E07733" w:rsidR="006771C0" w:rsidRPr="00AD5DCE" w:rsidRDefault="006771C0" w:rsidP="006771C0">
            <w:pPr>
              <w:widowControl w:val="0"/>
              <w:autoSpaceDE w:val="0"/>
              <w:autoSpaceDN w:val="0"/>
              <w:spacing w:line="240" w:lineRule="auto"/>
              <w:ind w:hanging="13"/>
              <w:jc w:val="center"/>
              <w:rPr>
                <w:rFonts w:eastAsia="Times New Roman"/>
                <w:b/>
                <w:bCs/>
                <w:color w:val="0D0D0D" w:themeColor="text1" w:themeTint="F2"/>
              </w:rPr>
            </w:pPr>
            <w:r w:rsidRPr="00AD5DCE">
              <w:rPr>
                <w:rFonts w:eastAsia="Times New Roman"/>
                <w:b/>
                <w:bCs/>
                <w:color w:val="0D0D0D" w:themeColor="text1" w:themeTint="F2"/>
              </w:rPr>
              <w:t>0.038</w:t>
            </w:r>
          </w:p>
        </w:tc>
      </w:tr>
      <w:tr w:rsidR="006771C0" w:rsidRPr="00AD5DCE" w14:paraId="0F9AEFDB" w14:textId="77777777" w:rsidTr="00FF3FFF">
        <w:trPr>
          <w:trHeight w:val="432"/>
          <w:jc w:val="center"/>
        </w:trPr>
        <w:tc>
          <w:tcPr>
            <w:tcW w:w="1495" w:type="dxa"/>
            <w:vMerge/>
            <w:tcBorders>
              <w:right w:val="single" w:sz="4" w:space="0" w:color="auto"/>
            </w:tcBorders>
            <w:vAlign w:val="center"/>
          </w:tcPr>
          <w:p w14:paraId="7BDED60D" w14:textId="77777777" w:rsidR="006771C0" w:rsidRPr="00AD5DCE" w:rsidRDefault="006771C0" w:rsidP="006771C0">
            <w:pPr>
              <w:widowControl w:val="0"/>
              <w:autoSpaceDE w:val="0"/>
              <w:autoSpaceDN w:val="0"/>
              <w:spacing w:line="240" w:lineRule="auto"/>
              <w:ind w:firstLine="80"/>
              <w:jc w:val="left"/>
              <w:rPr>
                <w:rFonts w:eastAsia="Times New Roman"/>
                <w:color w:val="0D0D0D" w:themeColor="text1" w:themeTint="F2"/>
              </w:rPr>
            </w:pPr>
          </w:p>
        </w:tc>
        <w:tc>
          <w:tcPr>
            <w:tcW w:w="845" w:type="dxa"/>
            <w:tcBorders>
              <w:left w:val="single" w:sz="4" w:space="0" w:color="auto"/>
            </w:tcBorders>
            <w:vAlign w:val="center"/>
          </w:tcPr>
          <w:p w14:paraId="2EC6A8FC" w14:textId="5477393E" w:rsidR="006771C0" w:rsidRPr="00AD5DCE" w:rsidRDefault="006771C0" w:rsidP="006771C0">
            <w:pPr>
              <w:widowControl w:val="0"/>
              <w:autoSpaceDE w:val="0"/>
              <w:autoSpaceDN w:val="0"/>
              <w:spacing w:line="240" w:lineRule="auto"/>
              <w:ind w:left="103" w:hanging="13"/>
              <w:jc w:val="left"/>
              <w:rPr>
                <w:rFonts w:eastAsia="Times New Roman"/>
                <w:color w:val="0D0D0D" w:themeColor="text1" w:themeTint="F2"/>
              </w:rPr>
            </w:pPr>
            <w:r w:rsidRPr="00AD5DCE">
              <w:rPr>
                <w:rFonts w:eastAsia="Times New Roman"/>
                <w:color w:val="0D0D0D" w:themeColor="text1" w:themeTint="F2"/>
              </w:rPr>
              <w:t>No</w:t>
            </w:r>
          </w:p>
        </w:tc>
        <w:tc>
          <w:tcPr>
            <w:tcW w:w="936" w:type="dxa"/>
          </w:tcPr>
          <w:p w14:paraId="164D938E" w14:textId="02A96DB1"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6 (23.1)</w:t>
            </w:r>
          </w:p>
        </w:tc>
        <w:tc>
          <w:tcPr>
            <w:tcW w:w="1245" w:type="dxa"/>
          </w:tcPr>
          <w:p w14:paraId="3922776B" w14:textId="4CC9F229"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108 (43.7)</w:t>
            </w:r>
          </w:p>
        </w:tc>
        <w:tc>
          <w:tcPr>
            <w:tcW w:w="979" w:type="dxa"/>
            <w:vMerge/>
            <w:vAlign w:val="center"/>
          </w:tcPr>
          <w:p w14:paraId="7A4C0CA0" w14:textId="7777777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p>
        </w:tc>
        <w:tc>
          <w:tcPr>
            <w:tcW w:w="682" w:type="dxa"/>
            <w:vMerge/>
            <w:vAlign w:val="center"/>
          </w:tcPr>
          <w:p w14:paraId="528D3E46" w14:textId="77777777" w:rsidR="006771C0" w:rsidRPr="00AD5DCE" w:rsidRDefault="006771C0" w:rsidP="006771C0">
            <w:pPr>
              <w:widowControl w:val="0"/>
              <w:autoSpaceDE w:val="0"/>
              <w:autoSpaceDN w:val="0"/>
              <w:spacing w:line="240" w:lineRule="auto"/>
              <w:ind w:hanging="13"/>
              <w:jc w:val="center"/>
              <w:rPr>
                <w:rFonts w:eastAsia="Times New Roman"/>
                <w:b/>
                <w:bCs/>
                <w:color w:val="0D0D0D" w:themeColor="text1" w:themeTint="F2"/>
              </w:rPr>
            </w:pPr>
          </w:p>
        </w:tc>
      </w:tr>
      <w:tr w:rsidR="006771C0" w:rsidRPr="00AD5DCE" w14:paraId="4E6A12E2" w14:textId="77777777" w:rsidTr="00FF3FFF">
        <w:trPr>
          <w:trHeight w:val="432"/>
          <w:jc w:val="center"/>
        </w:trPr>
        <w:tc>
          <w:tcPr>
            <w:tcW w:w="1495" w:type="dxa"/>
            <w:vMerge w:val="restart"/>
            <w:tcBorders>
              <w:right w:val="single" w:sz="4" w:space="0" w:color="auto"/>
            </w:tcBorders>
            <w:vAlign w:val="center"/>
          </w:tcPr>
          <w:p w14:paraId="45F051AA" w14:textId="77777777" w:rsidR="006771C0" w:rsidRPr="00AD5DCE" w:rsidRDefault="006771C0" w:rsidP="006771C0">
            <w:pPr>
              <w:widowControl w:val="0"/>
              <w:autoSpaceDE w:val="0"/>
              <w:autoSpaceDN w:val="0"/>
              <w:spacing w:line="240" w:lineRule="auto"/>
              <w:ind w:firstLine="80"/>
              <w:jc w:val="left"/>
              <w:rPr>
                <w:rFonts w:eastAsia="Times New Roman"/>
                <w:color w:val="0D0D0D" w:themeColor="text1" w:themeTint="F2"/>
              </w:rPr>
            </w:pPr>
            <w:r w:rsidRPr="00AD5DCE">
              <w:rPr>
                <w:rFonts w:eastAsia="Times New Roman"/>
                <w:color w:val="0D0D0D" w:themeColor="text1" w:themeTint="F2"/>
              </w:rPr>
              <w:t>D27G/S/Q</w:t>
            </w:r>
          </w:p>
        </w:tc>
        <w:tc>
          <w:tcPr>
            <w:tcW w:w="845" w:type="dxa"/>
            <w:tcBorders>
              <w:left w:val="single" w:sz="4" w:space="0" w:color="auto"/>
            </w:tcBorders>
            <w:vAlign w:val="center"/>
          </w:tcPr>
          <w:p w14:paraId="2F79CDEF" w14:textId="17DF4F5D" w:rsidR="006771C0" w:rsidRPr="00AD5DCE" w:rsidRDefault="006771C0" w:rsidP="006771C0">
            <w:pPr>
              <w:widowControl w:val="0"/>
              <w:autoSpaceDE w:val="0"/>
              <w:autoSpaceDN w:val="0"/>
              <w:spacing w:line="240" w:lineRule="auto"/>
              <w:ind w:left="103" w:hanging="13"/>
              <w:jc w:val="left"/>
              <w:rPr>
                <w:rFonts w:eastAsia="Times New Roman"/>
                <w:color w:val="0D0D0D" w:themeColor="text1" w:themeTint="F2"/>
              </w:rPr>
            </w:pPr>
            <w:r w:rsidRPr="00AD5DCE">
              <w:rPr>
                <w:rFonts w:eastAsia="Times New Roman"/>
                <w:color w:val="0D0D0D" w:themeColor="text1" w:themeTint="F2"/>
              </w:rPr>
              <w:t>Yes</w:t>
            </w:r>
          </w:p>
        </w:tc>
        <w:tc>
          <w:tcPr>
            <w:tcW w:w="936" w:type="dxa"/>
          </w:tcPr>
          <w:p w14:paraId="6EDE283B" w14:textId="35D0A561" w:rsidR="006771C0" w:rsidRPr="00AD5DCE" w:rsidRDefault="006771C0" w:rsidP="006771C0">
            <w:pPr>
              <w:widowControl w:val="0"/>
              <w:autoSpaceDE w:val="0"/>
              <w:autoSpaceDN w:val="0"/>
              <w:spacing w:line="240" w:lineRule="auto"/>
              <w:ind w:hanging="13"/>
              <w:jc w:val="center"/>
              <w:rPr>
                <w:color w:val="0D0D0D" w:themeColor="text1" w:themeTint="F2"/>
              </w:rPr>
            </w:pPr>
            <w:r w:rsidRPr="00AD5DCE">
              <w:rPr>
                <w:color w:val="0D0D0D" w:themeColor="text1" w:themeTint="F2"/>
              </w:rPr>
              <w:t>2 (7.7)</w:t>
            </w:r>
          </w:p>
        </w:tc>
        <w:tc>
          <w:tcPr>
            <w:tcW w:w="1245" w:type="dxa"/>
          </w:tcPr>
          <w:p w14:paraId="5BBA5A8A" w14:textId="69E45A1C" w:rsidR="006771C0" w:rsidRPr="00AD5DCE" w:rsidRDefault="006771C0" w:rsidP="006771C0">
            <w:pPr>
              <w:widowControl w:val="0"/>
              <w:autoSpaceDE w:val="0"/>
              <w:autoSpaceDN w:val="0"/>
              <w:spacing w:line="240" w:lineRule="auto"/>
              <w:ind w:hanging="13"/>
              <w:jc w:val="center"/>
              <w:rPr>
                <w:color w:val="0D0D0D" w:themeColor="text1" w:themeTint="F2"/>
              </w:rPr>
            </w:pPr>
            <w:r w:rsidRPr="00AD5DCE">
              <w:rPr>
                <w:color w:val="0D0D0D" w:themeColor="text1" w:themeTint="F2"/>
              </w:rPr>
              <w:t>27 (10.9)</w:t>
            </w:r>
          </w:p>
        </w:tc>
        <w:tc>
          <w:tcPr>
            <w:tcW w:w="979" w:type="dxa"/>
            <w:vMerge w:val="restart"/>
            <w:vAlign w:val="center"/>
          </w:tcPr>
          <w:p w14:paraId="17304AC2" w14:textId="5A66F7E1"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lang w:val="vi-VN"/>
              </w:rPr>
            </w:pPr>
            <w:r w:rsidRPr="00AD5DCE">
              <w:rPr>
                <w:rFonts w:eastAsia="Times New Roman"/>
                <w:color w:val="0D0D0D" w:themeColor="text1" w:themeTint="F2"/>
              </w:rPr>
              <w:t xml:space="preserve">0.7 </w:t>
            </w:r>
          </w:p>
          <w:p w14:paraId="32B0BA29" w14:textId="4ABF3A1F"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rFonts w:eastAsia="Times New Roman"/>
                <w:color w:val="0D0D0D" w:themeColor="text1" w:themeTint="F2"/>
              </w:rPr>
              <w:t>(0.2-3.1)</w:t>
            </w:r>
          </w:p>
        </w:tc>
        <w:tc>
          <w:tcPr>
            <w:tcW w:w="682" w:type="dxa"/>
            <w:vMerge w:val="restart"/>
            <w:vAlign w:val="center"/>
          </w:tcPr>
          <w:p w14:paraId="40E28DE3" w14:textId="2F084F6D"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rFonts w:eastAsia="Times New Roman"/>
                <w:color w:val="0D0D0D" w:themeColor="text1" w:themeTint="F2"/>
              </w:rPr>
              <w:t>0.617</w:t>
            </w:r>
          </w:p>
        </w:tc>
      </w:tr>
      <w:tr w:rsidR="006771C0" w:rsidRPr="00AD5DCE" w14:paraId="5E384E57" w14:textId="77777777" w:rsidTr="00FF3FFF">
        <w:trPr>
          <w:trHeight w:val="432"/>
          <w:jc w:val="center"/>
        </w:trPr>
        <w:tc>
          <w:tcPr>
            <w:tcW w:w="1495" w:type="dxa"/>
            <w:vMerge/>
            <w:tcBorders>
              <w:right w:val="single" w:sz="4" w:space="0" w:color="auto"/>
            </w:tcBorders>
            <w:vAlign w:val="center"/>
          </w:tcPr>
          <w:p w14:paraId="566344A3" w14:textId="77777777" w:rsidR="006771C0" w:rsidRPr="00AD5DCE" w:rsidRDefault="006771C0" w:rsidP="006771C0">
            <w:pPr>
              <w:widowControl w:val="0"/>
              <w:autoSpaceDE w:val="0"/>
              <w:autoSpaceDN w:val="0"/>
              <w:spacing w:line="240" w:lineRule="auto"/>
              <w:ind w:firstLine="80"/>
              <w:jc w:val="left"/>
              <w:rPr>
                <w:rFonts w:eastAsia="Times New Roman"/>
                <w:color w:val="0D0D0D" w:themeColor="text1" w:themeTint="F2"/>
              </w:rPr>
            </w:pPr>
          </w:p>
        </w:tc>
        <w:tc>
          <w:tcPr>
            <w:tcW w:w="845" w:type="dxa"/>
            <w:tcBorders>
              <w:left w:val="single" w:sz="4" w:space="0" w:color="auto"/>
            </w:tcBorders>
            <w:vAlign w:val="center"/>
          </w:tcPr>
          <w:p w14:paraId="394D0791" w14:textId="78BA2AAD" w:rsidR="006771C0" w:rsidRPr="00AD5DCE" w:rsidRDefault="006771C0" w:rsidP="006771C0">
            <w:pPr>
              <w:widowControl w:val="0"/>
              <w:autoSpaceDE w:val="0"/>
              <w:autoSpaceDN w:val="0"/>
              <w:spacing w:line="240" w:lineRule="auto"/>
              <w:ind w:left="103" w:hanging="13"/>
              <w:jc w:val="left"/>
              <w:rPr>
                <w:rFonts w:eastAsia="Times New Roman"/>
                <w:color w:val="0D0D0D" w:themeColor="text1" w:themeTint="F2"/>
              </w:rPr>
            </w:pPr>
            <w:r w:rsidRPr="00AD5DCE">
              <w:rPr>
                <w:rFonts w:eastAsia="Times New Roman"/>
                <w:color w:val="0D0D0D" w:themeColor="text1" w:themeTint="F2"/>
              </w:rPr>
              <w:t>No</w:t>
            </w:r>
          </w:p>
        </w:tc>
        <w:tc>
          <w:tcPr>
            <w:tcW w:w="936" w:type="dxa"/>
          </w:tcPr>
          <w:p w14:paraId="5B282429" w14:textId="4965818D" w:rsidR="006771C0" w:rsidRPr="00AD5DCE" w:rsidRDefault="006771C0" w:rsidP="006771C0">
            <w:pPr>
              <w:widowControl w:val="0"/>
              <w:autoSpaceDE w:val="0"/>
              <w:autoSpaceDN w:val="0"/>
              <w:spacing w:line="240" w:lineRule="auto"/>
              <w:ind w:hanging="13"/>
              <w:jc w:val="center"/>
              <w:rPr>
                <w:color w:val="0D0D0D" w:themeColor="text1" w:themeTint="F2"/>
              </w:rPr>
            </w:pPr>
            <w:r w:rsidRPr="00AD5DCE">
              <w:rPr>
                <w:color w:val="0D0D0D" w:themeColor="text1" w:themeTint="F2"/>
              </w:rPr>
              <w:t>24 (92.3)</w:t>
            </w:r>
          </w:p>
        </w:tc>
        <w:tc>
          <w:tcPr>
            <w:tcW w:w="1245" w:type="dxa"/>
          </w:tcPr>
          <w:p w14:paraId="2E00149C" w14:textId="5148331B" w:rsidR="006771C0" w:rsidRPr="00AD5DCE" w:rsidRDefault="006771C0" w:rsidP="006771C0">
            <w:pPr>
              <w:widowControl w:val="0"/>
              <w:autoSpaceDE w:val="0"/>
              <w:autoSpaceDN w:val="0"/>
              <w:spacing w:line="240" w:lineRule="auto"/>
              <w:ind w:hanging="13"/>
              <w:jc w:val="center"/>
              <w:rPr>
                <w:color w:val="0D0D0D" w:themeColor="text1" w:themeTint="F2"/>
              </w:rPr>
            </w:pPr>
            <w:r w:rsidRPr="00AD5DCE">
              <w:rPr>
                <w:color w:val="0D0D0D" w:themeColor="text1" w:themeTint="F2"/>
              </w:rPr>
              <w:t>220 (89.1)</w:t>
            </w:r>
          </w:p>
        </w:tc>
        <w:tc>
          <w:tcPr>
            <w:tcW w:w="979" w:type="dxa"/>
            <w:vMerge/>
            <w:vAlign w:val="center"/>
          </w:tcPr>
          <w:p w14:paraId="542364BC" w14:textId="7777777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p>
        </w:tc>
        <w:tc>
          <w:tcPr>
            <w:tcW w:w="682" w:type="dxa"/>
            <w:vMerge/>
            <w:vAlign w:val="center"/>
          </w:tcPr>
          <w:p w14:paraId="6CDC65BF" w14:textId="77777777" w:rsidR="006771C0" w:rsidRPr="00AD5DCE" w:rsidRDefault="006771C0" w:rsidP="006771C0">
            <w:pPr>
              <w:widowControl w:val="0"/>
              <w:autoSpaceDE w:val="0"/>
              <w:autoSpaceDN w:val="0"/>
              <w:spacing w:line="240" w:lineRule="auto"/>
              <w:ind w:hanging="13"/>
              <w:jc w:val="center"/>
              <w:rPr>
                <w:rFonts w:eastAsia="Times New Roman"/>
                <w:b/>
                <w:bCs/>
                <w:color w:val="0D0D0D" w:themeColor="text1" w:themeTint="F2"/>
              </w:rPr>
            </w:pPr>
          </w:p>
        </w:tc>
      </w:tr>
      <w:tr w:rsidR="006771C0" w:rsidRPr="00AD5DCE" w14:paraId="5F670444" w14:textId="77777777" w:rsidTr="0082454E">
        <w:trPr>
          <w:trHeight w:val="432"/>
          <w:jc w:val="center"/>
        </w:trPr>
        <w:tc>
          <w:tcPr>
            <w:tcW w:w="1495" w:type="dxa"/>
            <w:vMerge w:val="restart"/>
            <w:tcBorders>
              <w:right w:val="single" w:sz="4" w:space="0" w:color="auto"/>
            </w:tcBorders>
            <w:vAlign w:val="center"/>
          </w:tcPr>
          <w:p w14:paraId="3122467C" w14:textId="2DE34A14" w:rsidR="006771C0" w:rsidRPr="00AD5DCE" w:rsidRDefault="006771C0" w:rsidP="006771C0">
            <w:pPr>
              <w:widowControl w:val="0"/>
              <w:autoSpaceDE w:val="0"/>
              <w:autoSpaceDN w:val="0"/>
              <w:spacing w:line="240" w:lineRule="auto"/>
              <w:ind w:firstLine="80"/>
              <w:jc w:val="left"/>
              <w:rPr>
                <w:rFonts w:eastAsia="Times New Roman"/>
                <w:color w:val="0D0D0D" w:themeColor="text1" w:themeTint="F2"/>
                <w:lang w:val="vi-VN"/>
              </w:rPr>
            </w:pPr>
            <w:r w:rsidRPr="00CF1BCC">
              <w:rPr>
                <w:bCs/>
                <w:color w:val="0D0D0D" w:themeColor="text1" w:themeTint="F2"/>
              </w:rPr>
              <w:t>Ligand-binding region for NTCP</w:t>
            </w:r>
            <w:r w:rsidRPr="00AD5DCE">
              <w:rPr>
                <w:bCs/>
                <w:color w:val="0D0D0D" w:themeColor="text1" w:themeTint="F2"/>
                <w:lang w:val="vi-VN"/>
              </w:rPr>
              <w:t xml:space="preserve"> </w:t>
            </w:r>
            <w:r w:rsidRPr="00AD5DCE">
              <w:rPr>
                <w:bCs/>
                <w:color w:val="0D0D0D" w:themeColor="text1" w:themeTint="F2"/>
              </w:rPr>
              <w:t>(codon 20–29)</w:t>
            </w:r>
          </w:p>
        </w:tc>
        <w:tc>
          <w:tcPr>
            <w:tcW w:w="845" w:type="dxa"/>
            <w:tcBorders>
              <w:left w:val="single" w:sz="4" w:space="0" w:color="auto"/>
            </w:tcBorders>
          </w:tcPr>
          <w:p w14:paraId="0AF6C596" w14:textId="459AACA8" w:rsidR="006771C0" w:rsidRPr="00AD5DCE" w:rsidRDefault="006771C0" w:rsidP="006771C0">
            <w:pPr>
              <w:widowControl w:val="0"/>
              <w:autoSpaceDE w:val="0"/>
              <w:autoSpaceDN w:val="0"/>
              <w:spacing w:line="240" w:lineRule="auto"/>
              <w:ind w:left="103" w:hanging="13"/>
              <w:jc w:val="left"/>
              <w:rPr>
                <w:rFonts w:eastAsia="Times New Roman"/>
                <w:color w:val="0D0D0D" w:themeColor="text1" w:themeTint="F2"/>
              </w:rPr>
            </w:pPr>
            <w:r w:rsidRPr="00AD5DCE">
              <w:t>Yes</w:t>
            </w:r>
          </w:p>
        </w:tc>
        <w:tc>
          <w:tcPr>
            <w:tcW w:w="936" w:type="dxa"/>
          </w:tcPr>
          <w:p w14:paraId="3806CA5C" w14:textId="1E982E3D"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7 (26.9)</w:t>
            </w:r>
          </w:p>
        </w:tc>
        <w:tc>
          <w:tcPr>
            <w:tcW w:w="1245" w:type="dxa"/>
          </w:tcPr>
          <w:p w14:paraId="778DEE1B" w14:textId="629B6A6F"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35 (14.2)</w:t>
            </w:r>
          </w:p>
        </w:tc>
        <w:tc>
          <w:tcPr>
            <w:tcW w:w="979" w:type="dxa"/>
            <w:vMerge w:val="restart"/>
            <w:vAlign w:val="center"/>
          </w:tcPr>
          <w:p w14:paraId="1AF474FA" w14:textId="192AECE0"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lang w:val="vi-VN"/>
              </w:rPr>
            </w:pPr>
            <w:r w:rsidRPr="00AD5DCE">
              <w:rPr>
                <w:rFonts w:eastAsia="Times New Roman"/>
                <w:color w:val="0D0D0D" w:themeColor="text1" w:themeTint="F2"/>
              </w:rPr>
              <w:t xml:space="preserve">2.1 </w:t>
            </w:r>
          </w:p>
          <w:p w14:paraId="2F385557" w14:textId="5DA958C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rFonts w:eastAsia="Times New Roman"/>
                <w:color w:val="0D0D0D" w:themeColor="text1" w:themeTint="F2"/>
              </w:rPr>
              <w:t>(0.8-5.5)</w:t>
            </w:r>
          </w:p>
        </w:tc>
        <w:tc>
          <w:tcPr>
            <w:tcW w:w="682" w:type="dxa"/>
            <w:vMerge w:val="restart"/>
            <w:vAlign w:val="center"/>
          </w:tcPr>
          <w:p w14:paraId="1F2EBF20" w14:textId="0A7256B6"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rFonts w:eastAsia="Times New Roman"/>
                <w:color w:val="0D0D0D" w:themeColor="text1" w:themeTint="F2"/>
              </w:rPr>
              <w:t>0.130</w:t>
            </w:r>
          </w:p>
        </w:tc>
      </w:tr>
      <w:tr w:rsidR="006771C0" w:rsidRPr="00AD5DCE" w14:paraId="5818844A" w14:textId="77777777" w:rsidTr="0082454E">
        <w:trPr>
          <w:trHeight w:val="560"/>
          <w:jc w:val="center"/>
        </w:trPr>
        <w:tc>
          <w:tcPr>
            <w:tcW w:w="1495" w:type="dxa"/>
            <w:vMerge/>
            <w:tcBorders>
              <w:bottom w:val="single" w:sz="4" w:space="0" w:color="auto"/>
              <w:right w:val="single" w:sz="4" w:space="0" w:color="auto"/>
            </w:tcBorders>
            <w:vAlign w:val="center"/>
          </w:tcPr>
          <w:p w14:paraId="0E1B9626" w14:textId="77777777" w:rsidR="006771C0" w:rsidRPr="00AD5DCE" w:rsidRDefault="006771C0" w:rsidP="006771C0">
            <w:pPr>
              <w:widowControl w:val="0"/>
              <w:autoSpaceDE w:val="0"/>
              <w:autoSpaceDN w:val="0"/>
              <w:spacing w:line="240" w:lineRule="auto"/>
              <w:ind w:firstLine="80"/>
              <w:jc w:val="left"/>
              <w:rPr>
                <w:rFonts w:eastAsia="Times New Roman"/>
                <w:color w:val="0D0D0D" w:themeColor="text1" w:themeTint="F2"/>
              </w:rPr>
            </w:pPr>
          </w:p>
        </w:tc>
        <w:tc>
          <w:tcPr>
            <w:tcW w:w="845" w:type="dxa"/>
            <w:tcBorders>
              <w:left w:val="single" w:sz="4" w:space="0" w:color="auto"/>
              <w:bottom w:val="single" w:sz="4" w:space="0" w:color="auto"/>
            </w:tcBorders>
          </w:tcPr>
          <w:p w14:paraId="535BE36E" w14:textId="47863FBC" w:rsidR="006771C0" w:rsidRPr="00AD5DCE" w:rsidRDefault="006771C0" w:rsidP="006771C0">
            <w:pPr>
              <w:widowControl w:val="0"/>
              <w:autoSpaceDE w:val="0"/>
              <w:autoSpaceDN w:val="0"/>
              <w:spacing w:line="240" w:lineRule="auto"/>
              <w:ind w:left="103" w:hanging="13"/>
              <w:rPr>
                <w:rFonts w:eastAsia="Times New Roman"/>
                <w:color w:val="0D0D0D" w:themeColor="text1" w:themeTint="F2"/>
              </w:rPr>
            </w:pPr>
            <w:r w:rsidRPr="00AD5DCE">
              <w:t>No</w:t>
            </w:r>
          </w:p>
        </w:tc>
        <w:tc>
          <w:tcPr>
            <w:tcW w:w="936" w:type="dxa"/>
            <w:tcBorders>
              <w:bottom w:val="single" w:sz="4" w:space="0" w:color="auto"/>
            </w:tcBorders>
            <w:vAlign w:val="center"/>
          </w:tcPr>
          <w:p w14:paraId="0730D293" w14:textId="30CB3DE8"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19 (73.1)</w:t>
            </w:r>
          </w:p>
        </w:tc>
        <w:tc>
          <w:tcPr>
            <w:tcW w:w="1245" w:type="dxa"/>
            <w:tcBorders>
              <w:bottom w:val="single" w:sz="4" w:space="0" w:color="auto"/>
            </w:tcBorders>
            <w:vAlign w:val="center"/>
          </w:tcPr>
          <w:p w14:paraId="770AFC2F" w14:textId="69DB5409"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212 (85.8)</w:t>
            </w:r>
          </w:p>
        </w:tc>
        <w:tc>
          <w:tcPr>
            <w:tcW w:w="979" w:type="dxa"/>
            <w:vMerge/>
            <w:tcBorders>
              <w:bottom w:val="single" w:sz="4" w:space="0" w:color="auto"/>
            </w:tcBorders>
            <w:vAlign w:val="center"/>
          </w:tcPr>
          <w:p w14:paraId="7B798C69" w14:textId="7777777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p>
        </w:tc>
        <w:tc>
          <w:tcPr>
            <w:tcW w:w="682" w:type="dxa"/>
            <w:vMerge/>
            <w:tcBorders>
              <w:bottom w:val="single" w:sz="4" w:space="0" w:color="auto"/>
            </w:tcBorders>
            <w:vAlign w:val="center"/>
          </w:tcPr>
          <w:p w14:paraId="010C835F" w14:textId="7777777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p>
        </w:tc>
      </w:tr>
      <w:tr w:rsidR="006771C0" w:rsidRPr="00AD5DCE" w14:paraId="28EF1257" w14:textId="77777777" w:rsidTr="0082454E">
        <w:trPr>
          <w:trHeight w:val="432"/>
          <w:jc w:val="center"/>
        </w:trPr>
        <w:tc>
          <w:tcPr>
            <w:tcW w:w="1495" w:type="dxa"/>
            <w:vMerge w:val="restart"/>
            <w:tcBorders>
              <w:top w:val="single" w:sz="4" w:space="0" w:color="auto"/>
              <w:left w:val="single" w:sz="4" w:space="0" w:color="auto"/>
              <w:bottom w:val="single" w:sz="4" w:space="0" w:color="auto"/>
              <w:right w:val="single" w:sz="4" w:space="0" w:color="auto"/>
            </w:tcBorders>
            <w:vAlign w:val="center"/>
          </w:tcPr>
          <w:p w14:paraId="3F97EE3D" w14:textId="02B9BF0D" w:rsidR="006771C0" w:rsidRPr="00AD5DCE" w:rsidRDefault="00496AF8" w:rsidP="006771C0">
            <w:pPr>
              <w:widowControl w:val="0"/>
              <w:autoSpaceDE w:val="0"/>
              <w:autoSpaceDN w:val="0"/>
              <w:spacing w:line="240" w:lineRule="auto"/>
              <w:ind w:firstLine="80"/>
              <w:jc w:val="left"/>
              <w:rPr>
                <w:rFonts w:eastAsia="Times New Roman"/>
                <w:color w:val="0D0D0D" w:themeColor="text1" w:themeTint="F2"/>
                <w:lang w:val="vi-VN"/>
              </w:rPr>
            </w:pPr>
            <w:r w:rsidRPr="00496AF8">
              <w:rPr>
                <w:rFonts w:eastAsia="Times New Roman"/>
                <w:i/>
                <w:iCs/>
                <w:color w:val="0D0D0D" w:themeColor="text1" w:themeTint="F2"/>
              </w:rPr>
              <w:t>preS2</w:t>
            </w:r>
            <w:r w:rsidR="006771C0" w:rsidRPr="00AD5DCE">
              <w:rPr>
                <w:rFonts w:eastAsia="Times New Roman"/>
                <w:i/>
                <w:iCs/>
                <w:color w:val="0D0D0D" w:themeColor="text1" w:themeTint="F2"/>
                <w:lang w:val="vi-VN"/>
              </w:rPr>
              <w:t xml:space="preserve"> </w:t>
            </w:r>
            <w:r w:rsidR="006771C0" w:rsidRPr="00AD5DCE">
              <w:rPr>
                <w:rFonts w:eastAsia="Times New Roman"/>
                <w:i/>
                <w:iCs/>
                <w:color w:val="0D0D0D" w:themeColor="text1" w:themeTint="F2"/>
              </w:rPr>
              <w:t>deletion</w:t>
            </w:r>
          </w:p>
        </w:tc>
        <w:tc>
          <w:tcPr>
            <w:tcW w:w="845" w:type="dxa"/>
            <w:tcBorders>
              <w:top w:val="single" w:sz="4" w:space="0" w:color="auto"/>
              <w:left w:val="single" w:sz="4" w:space="0" w:color="auto"/>
              <w:bottom w:val="single" w:sz="4" w:space="0" w:color="auto"/>
              <w:right w:val="single" w:sz="4" w:space="0" w:color="auto"/>
            </w:tcBorders>
          </w:tcPr>
          <w:p w14:paraId="429B79EB" w14:textId="58B313C3" w:rsidR="006771C0" w:rsidRPr="00AD5DCE" w:rsidRDefault="006771C0" w:rsidP="006771C0">
            <w:pPr>
              <w:widowControl w:val="0"/>
              <w:autoSpaceDE w:val="0"/>
              <w:autoSpaceDN w:val="0"/>
              <w:spacing w:line="240" w:lineRule="auto"/>
              <w:ind w:left="103" w:hanging="13"/>
              <w:jc w:val="left"/>
              <w:rPr>
                <w:rFonts w:eastAsia="Times New Roman"/>
                <w:color w:val="0D0D0D" w:themeColor="text1" w:themeTint="F2"/>
              </w:rPr>
            </w:pPr>
            <w:r w:rsidRPr="00AD5DCE">
              <w:t>Yes</w:t>
            </w:r>
          </w:p>
        </w:tc>
        <w:tc>
          <w:tcPr>
            <w:tcW w:w="936" w:type="dxa"/>
            <w:tcBorders>
              <w:top w:val="single" w:sz="4" w:space="0" w:color="auto"/>
              <w:left w:val="single" w:sz="4" w:space="0" w:color="auto"/>
              <w:bottom w:val="single" w:sz="4" w:space="0" w:color="auto"/>
              <w:right w:val="single" w:sz="4" w:space="0" w:color="auto"/>
            </w:tcBorders>
          </w:tcPr>
          <w:p w14:paraId="61A10B74" w14:textId="46EC8875"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5 (19.2)</w:t>
            </w:r>
          </w:p>
        </w:tc>
        <w:tc>
          <w:tcPr>
            <w:tcW w:w="1245" w:type="dxa"/>
            <w:tcBorders>
              <w:top w:val="single" w:sz="4" w:space="0" w:color="auto"/>
              <w:left w:val="single" w:sz="4" w:space="0" w:color="auto"/>
              <w:bottom w:val="single" w:sz="4" w:space="0" w:color="auto"/>
              <w:right w:val="single" w:sz="4" w:space="0" w:color="auto"/>
            </w:tcBorders>
          </w:tcPr>
          <w:p w14:paraId="7A414E3C" w14:textId="3D2DC1E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35 (14.2)</w:t>
            </w:r>
          </w:p>
        </w:tc>
        <w:tc>
          <w:tcPr>
            <w:tcW w:w="979" w:type="dxa"/>
            <w:vMerge w:val="restart"/>
            <w:tcBorders>
              <w:top w:val="single" w:sz="4" w:space="0" w:color="auto"/>
              <w:left w:val="single" w:sz="4" w:space="0" w:color="auto"/>
              <w:bottom w:val="single" w:sz="4" w:space="0" w:color="auto"/>
              <w:right w:val="single" w:sz="4" w:space="0" w:color="auto"/>
            </w:tcBorders>
            <w:vAlign w:val="center"/>
          </w:tcPr>
          <w:p w14:paraId="36633F9F" w14:textId="57339FDF"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lang w:val="vi-VN"/>
              </w:rPr>
            </w:pPr>
            <w:r w:rsidRPr="00AD5DCE">
              <w:rPr>
                <w:rFonts w:eastAsia="Times New Roman"/>
                <w:color w:val="0D0D0D" w:themeColor="text1" w:themeTint="F2"/>
              </w:rPr>
              <w:t xml:space="preserve">1.3 </w:t>
            </w:r>
          </w:p>
          <w:p w14:paraId="188C78ED" w14:textId="10F4DE9F"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rFonts w:eastAsia="Times New Roman"/>
                <w:color w:val="0D0D0D" w:themeColor="text1" w:themeTint="F2"/>
              </w:rPr>
              <w:t>(0.5-3.7)</w:t>
            </w:r>
          </w:p>
        </w:tc>
        <w:tc>
          <w:tcPr>
            <w:tcW w:w="682" w:type="dxa"/>
            <w:vMerge w:val="restart"/>
            <w:tcBorders>
              <w:top w:val="single" w:sz="4" w:space="0" w:color="auto"/>
              <w:left w:val="single" w:sz="4" w:space="0" w:color="auto"/>
              <w:bottom w:val="single" w:sz="4" w:space="0" w:color="auto"/>
              <w:right w:val="single" w:sz="4" w:space="0" w:color="auto"/>
            </w:tcBorders>
            <w:vAlign w:val="center"/>
          </w:tcPr>
          <w:p w14:paraId="6007DE7C" w14:textId="1F537A6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rFonts w:eastAsia="Times New Roman"/>
                <w:color w:val="0D0D0D" w:themeColor="text1" w:themeTint="F2"/>
              </w:rPr>
              <w:t>0.628</w:t>
            </w:r>
          </w:p>
        </w:tc>
      </w:tr>
      <w:tr w:rsidR="006771C0" w:rsidRPr="00AD5DCE" w14:paraId="580AD102" w14:textId="77777777" w:rsidTr="0082454E">
        <w:trPr>
          <w:trHeight w:val="432"/>
          <w:jc w:val="center"/>
        </w:trPr>
        <w:tc>
          <w:tcPr>
            <w:tcW w:w="1495" w:type="dxa"/>
            <w:vMerge/>
            <w:tcBorders>
              <w:top w:val="single" w:sz="4" w:space="0" w:color="auto"/>
              <w:left w:val="single" w:sz="4" w:space="0" w:color="auto"/>
              <w:bottom w:val="single" w:sz="4" w:space="0" w:color="auto"/>
              <w:right w:val="single" w:sz="4" w:space="0" w:color="auto"/>
            </w:tcBorders>
            <w:vAlign w:val="center"/>
          </w:tcPr>
          <w:p w14:paraId="769F5E88" w14:textId="77777777" w:rsidR="006771C0" w:rsidRPr="00AD5DCE" w:rsidRDefault="006771C0" w:rsidP="006771C0">
            <w:pPr>
              <w:widowControl w:val="0"/>
              <w:autoSpaceDE w:val="0"/>
              <w:autoSpaceDN w:val="0"/>
              <w:spacing w:line="240" w:lineRule="auto"/>
              <w:ind w:left="142"/>
              <w:jc w:val="left"/>
              <w:rPr>
                <w:rFonts w:eastAsia="Times New Roman"/>
                <w:color w:val="0D0D0D" w:themeColor="text1" w:themeTint="F2"/>
              </w:rPr>
            </w:pPr>
          </w:p>
        </w:tc>
        <w:tc>
          <w:tcPr>
            <w:tcW w:w="845" w:type="dxa"/>
            <w:tcBorders>
              <w:top w:val="single" w:sz="4" w:space="0" w:color="auto"/>
              <w:left w:val="single" w:sz="4" w:space="0" w:color="auto"/>
              <w:bottom w:val="single" w:sz="4" w:space="0" w:color="auto"/>
              <w:right w:val="single" w:sz="4" w:space="0" w:color="auto"/>
            </w:tcBorders>
          </w:tcPr>
          <w:p w14:paraId="5AFA79D2" w14:textId="3F129601" w:rsidR="006771C0" w:rsidRPr="00AD5DCE" w:rsidRDefault="006771C0" w:rsidP="006771C0">
            <w:pPr>
              <w:widowControl w:val="0"/>
              <w:autoSpaceDE w:val="0"/>
              <w:autoSpaceDN w:val="0"/>
              <w:spacing w:line="240" w:lineRule="auto"/>
              <w:ind w:left="103" w:hanging="13"/>
              <w:jc w:val="left"/>
              <w:rPr>
                <w:rFonts w:eastAsia="Times New Roman"/>
                <w:color w:val="0D0D0D" w:themeColor="text1" w:themeTint="F2"/>
              </w:rPr>
            </w:pPr>
            <w:r w:rsidRPr="00AD5DCE">
              <w:t>No</w:t>
            </w:r>
          </w:p>
        </w:tc>
        <w:tc>
          <w:tcPr>
            <w:tcW w:w="936" w:type="dxa"/>
            <w:tcBorders>
              <w:top w:val="single" w:sz="4" w:space="0" w:color="auto"/>
              <w:left w:val="single" w:sz="4" w:space="0" w:color="auto"/>
              <w:bottom w:val="single" w:sz="4" w:space="0" w:color="auto"/>
              <w:right w:val="single" w:sz="4" w:space="0" w:color="auto"/>
            </w:tcBorders>
          </w:tcPr>
          <w:p w14:paraId="56205537" w14:textId="612745D4"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21 (80.8)</w:t>
            </w:r>
          </w:p>
        </w:tc>
        <w:tc>
          <w:tcPr>
            <w:tcW w:w="1245" w:type="dxa"/>
            <w:tcBorders>
              <w:top w:val="single" w:sz="4" w:space="0" w:color="auto"/>
              <w:left w:val="single" w:sz="4" w:space="0" w:color="auto"/>
              <w:bottom w:val="single" w:sz="4" w:space="0" w:color="auto"/>
              <w:right w:val="single" w:sz="4" w:space="0" w:color="auto"/>
            </w:tcBorders>
          </w:tcPr>
          <w:p w14:paraId="3171F659" w14:textId="5B5AEDB2"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r w:rsidRPr="00AD5DCE">
              <w:rPr>
                <w:color w:val="0D0D0D" w:themeColor="text1" w:themeTint="F2"/>
              </w:rPr>
              <w:t>212 (85.8)</w:t>
            </w:r>
          </w:p>
        </w:tc>
        <w:tc>
          <w:tcPr>
            <w:tcW w:w="979" w:type="dxa"/>
            <w:vMerge/>
            <w:tcBorders>
              <w:top w:val="single" w:sz="4" w:space="0" w:color="auto"/>
              <w:left w:val="single" w:sz="4" w:space="0" w:color="auto"/>
              <w:bottom w:val="single" w:sz="4" w:space="0" w:color="auto"/>
              <w:right w:val="single" w:sz="4" w:space="0" w:color="auto"/>
            </w:tcBorders>
            <w:vAlign w:val="center"/>
          </w:tcPr>
          <w:p w14:paraId="7C04863A" w14:textId="7777777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p>
        </w:tc>
        <w:tc>
          <w:tcPr>
            <w:tcW w:w="682" w:type="dxa"/>
            <w:vMerge/>
            <w:tcBorders>
              <w:top w:val="single" w:sz="4" w:space="0" w:color="auto"/>
              <w:left w:val="single" w:sz="4" w:space="0" w:color="auto"/>
              <w:bottom w:val="single" w:sz="4" w:space="0" w:color="auto"/>
              <w:right w:val="single" w:sz="4" w:space="0" w:color="auto"/>
            </w:tcBorders>
            <w:vAlign w:val="center"/>
          </w:tcPr>
          <w:p w14:paraId="549E4D5D" w14:textId="77777777" w:rsidR="006771C0" w:rsidRPr="00AD5DCE" w:rsidRDefault="006771C0" w:rsidP="006771C0">
            <w:pPr>
              <w:widowControl w:val="0"/>
              <w:autoSpaceDE w:val="0"/>
              <w:autoSpaceDN w:val="0"/>
              <w:spacing w:line="240" w:lineRule="auto"/>
              <w:ind w:hanging="13"/>
              <w:jc w:val="center"/>
              <w:rPr>
                <w:rFonts w:eastAsia="Times New Roman"/>
                <w:color w:val="0D0D0D" w:themeColor="text1" w:themeTint="F2"/>
              </w:rPr>
            </w:pPr>
          </w:p>
        </w:tc>
      </w:tr>
    </w:tbl>
    <w:p w14:paraId="786B143F" w14:textId="3391D049" w:rsidR="006771C0" w:rsidRPr="00AD5DCE" w:rsidRDefault="006771C0" w:rsidP="00556026">
      <w:pPr>
        <w:ind w:firstLine="720"/>
        <w:rPr>
          <w:rFonts w:eastAsia="Aptos"/>
          <w:i/>
          <w:iCs/>
          <w:color w:val="0D0D0D" w:themeColor="text1" w:themeTint="F2"/>
          <w:lang w:val="vi-VN"/>
        </w:rPr>
      </w:pPr>
      <w:r w:rsidRPr="00AD5DCE">
        <w:rPr>
          <w:rFonts w:eastAsia="Aptos"/>
          <w:i/>
          <w:iCs/>
          <w:color w:val="0D0D0D" w:themeColor="text1" w:themeTint="F2"/>
        </w:rPr>
        <w:t xml:space="preserve">OR* adjusted for age and sex; dependent variable: </w:t>
      </w:r>
      <w:r w:rsidR="00EF225C">
        <w:rPr>
          <w:rFonts w:eastAsia="Aptos"/>
          <w:i/>
          <w:iCs/>
          <w:color w:val="0D0D0D" w:themeColor="text1" w:themeTint="F2"/>
        </w:rPr>
        <w:t>preS</w:t>
      </w:r>
      <w:r w:rsidR="005B5D37" w:rsidRPr="005B5D37">
        <w:rPr>
          <w:rFonts w:eastAsia="Aptos"/>
          <w:i/>
          <w:iCs/>
          <w:color w:val="0D0D0D" w:themeColor="text1" w:themeTint="F2"/>
        </w:rPr>
        <w:t>/S</w:t>
      </w:r>
      <w:r w:rsidRPr="00AD5DCE">
        <w:rPr>
          <w:rFonts w:eastAsia="Aptos"/>
          <w:i/>
          <w:iCs/>
          <w:color w:val="0D0D0D" w:themeColor="text1" w:themeTint="F2"/>
        </w:rPr>
        <w:t xml:space="preserve"> mutation </w:t>
      </w:r>
    </w:p>
    <w:p w14:paraId="1400A2F8" w14:textId="77777777" w:rsidR="006771C0" w:rsidRPr="00AD5DCE" w:rsidRDefault="006771C0" w:rsidP="00AD5DCE">
      <w:pPr>
        <w:keepNext/>
        <w:spacing w:line="340" w:lineRule="exact"/>
        <w:ind w:firstLine="562"/>
        <w:rPr>
          <w:b/>
          <w:bCs/>
          <w:color w:val="0D0D0D" w:themeColor="text1" w:themeTint="F2"/>
          <w:lang w:val="vi-VN"/>
        </w:rPr>
      </w:pPr>
      <w:bookmarkStart w:id="22" w:name="_Toc207715174"/>
      <w:bookmarkStart w:id="23" w:name="_Toc207715303"/>
      <w:bookmarkStart w:id="24" w:name="_Ref210993339"/>
      <w:r w:rsidRPr="00AD5DCE">
        <w:rPr>
          <w:color w:val="0D0D0D" w:themeColor="text1" w:themeTint="F2"/>
        </w:rPr>
        <w:lastRenderedPageBreak/>
        <w:t>Mutations T125P/A/I/N/S and T167K/M/R were significantly associated with the NTCP S267F variant (p&lt;0.05).</w:t>
      </w:r>
      <w:r w:rsidRPr="00AD5DCE">
        <w:rPr>
          <w:b/>
          <w:bCs/>
          <w:color w:val="0D0D0D" w:themeColor="text1" w:themeTint="F2"/>
        </w:rPr>
        <w:t xml:space="preserve"> </w:t>
      </w:r>
    </w:p>
    <w:tbl>
      <w:tblPr>
        <w:tblpPr w:leftFromText="180" w:rightFromText="180" w:vertAnchor="page" w:horzAnchor="margin" w:tblpY="2456"/>
        <w:tblW w:w="68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05"/>
        <w:gridCol w:w="990"/>
        <w:gridCol w:w="1265"/>
        <w:gridCol w:w="1170"/>
        <w:gridCol w:w="1080"/>
        <w:gridCol w:w="900"/>
        <w:gridCol w:w="630"/>
      </w:tblGrid>
      <w:tr w:rsidR="00496AF8" w:rsidRPr="00AD5DCE" w14:paraId="179B029B" w14:textId="77777777" w:rsidTr="00496AF8">
        <w:trPr>
          <w:trHeight w:val="530"/>
        </w:trPr>
        <w:tc>
          <w:tcPr>
            <w:tcW w:w="805" w:type="dxa"/>
            <w:vMerge w:val="restart"/>
            <w:tcBorders>
              <w:top w:val="single" w:sz="4" w:space="0" w:color="auto"/>
              <w:right w:val="single" w:sz="4" w:space="0" w:color="auto"/>
            </w:tcBorders>
            <w:vAlign w:val="center"/>
          </w:tcPr>
          <w:bookmarkEnd w:id="22"/>
          <w:bookmarkEnd w:id="23"/>
          <w:bookmarkEnd w:id="24"/>
          <w:p w14:paraId="1033A535" w14:textId="77777777" w:rsidR="00496AF8" w:rsidRPr="00AD5DCE" w:rsidRDefault="00496AF8" w:rsidP="00496AF8">
            <w:pPr>
              <w:widowControl w:val="0"/>
              <w:autoSpaceDE w:val="0"/>
              <w:autoSpaceDN w:val="0"/>
              <w:spacing w:line="240" w:lineRule="auto"/>
              <w:ind w:left="-90" w:right="-40" w:firstLine="0"/>
              <w:jc w:val="center"/>
              <w:rPr>
                <w:rFonts w:eastAsia="Times New Roman"/>
                <w:b/>
                <w:color w:val="0D0D0D" w:themeColor="text1" w:themeTint="F2"/>
                <w:lang w:val="vi-VN"/>
              </w:rPr>
            </w:pPr>
            <w:r w:rsidRPr="00AD5DCE">
              <w:rPr>
                <w:rFonts w:eastAsia="Times New Roman"/>
                <w:b/>
                <w:color w:val="0D0D0D" w:themeColor="text1" w:themeTint="F2"/>
              </w:rPr>
              <w:t>Codon</w:t>
            </w:r>
            <w:r w:rsidRPr="00AD5DCE">
              <w:rPr>
                <w:rFonts w:eastAsia="Times New Roman"/>
                <w:b/>
                <w:color w:val="0D0D0D" w:themeColor="text1" w:themeTint="F2"/>
                <w:lang w:val="vi-VN"/>
              </w:rPr>
              <w:t>’s Position</w:t>
            </w:r>
          </w:p>
        </w:tc>
        <w:tc>
          <w:tcPr>
            <w:tcW w:w="990" w:type="dxa"/>
            <w:vMerge w:val="restart"/>
            <w:tcBorders>
              <w:top w:val="single" w:sz="4" w:space="0" w:color="auto"/>
              <w:right w:val="single" w:sz="4" w:space="0" w:color="auto"/>
            </w:tcBorders>
            <w:vAlign w:val="center"/>
          </w:tcPr>
          <w:p w14:paraId="2855AAA3" w14:textId="77777777" w:rsidR="00496AF8" w:rsidRPr="00AD5DCE" w:rsidRDefault="00496AF8" w:rsidP="00496AF8">
            <w:pPr>
              <w:ind w:right="-110" w:firstLine="0"/>
              <w:rPr>
                <w:rFonts w:eastAsia="Aptos"/>
                <w:b/>
                <w:bCs/>
                <w:color w:val="0D0D0D" w:themeColor="text1" w:themeTint="F2"/>
                <w:lang w:val="vi-VN"/>
              </w:rPr>
            </w:pPr>
            <w:r w:rsidRPr="00AD5DCE">
              <w:rPr>
                <w:rFonts w:eastAsia="Aptos"/>
                <w:b/>
                <w:bCs/>
                <w:color w:val="0D0D0D" w:themeColor="text1" w:themeTint="F2"/>
              </w:rPr>
              <w:t>HBV genotypes</w:t>
            </w:r>
          </w:p>
        </w:tc>
        <w:tc>
          <w:tcPr>
            <w:tcW w:w="1265" w:type="dxa"/>
            <w:vMerge w:val="restart"/>
            <w:tcBorders>
              <w:top w:val="single" w:sz="4" w:space="0" w:color="auto"/>
              <w:right w:val="single" w:sz="4" w:space="0" w:color="auto"/>
            </w:tcBorders>
            <w:vAlign w:val="center"/>
          </w:tcPr>
          <w:p w14:paraId="797FF485" w14:textId="77777777" w:rsidR="00496AF8" w:rsidRPr="00AD5DCE" w:rsidRDefault="00496AF8" w:rsidP="00496AF8">
            <w:pPr>
              <w:ind w:firstLine="0"/>
              <w:jc w:val="center"/>
              <w:rPr>
                <w:b/>
                <w:bCs/>
                <w:lang w:val="vi-VN"/>
              </w:rPr>
            </w:pPr>
            <w:r w:rsidRPr="00AD5DCE">
              <w:rPr>
                <w:b/>
                <w:bCs/>
              </w:rPr>
              <w:t>Mutations</w:t>
            </w:r>
          </w:p>
        </w:tc>
        <w:tc>
          <w:tcPr>
            <w:tcW w:w="2250" w:type="dxa"/>
            <w:gridSpan w:val="2"/>
            <w:tcBorders>
              <w:left w:val="single" w:sz="4" w:space="0" w:color="auto"/>
            </w:tcBorders>
            <w:vAlign w:val="center"/>
          </w:tcPr>
          <w:p w14:paraId="3CD49332"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r w:rsidRPr="00AD5DCE">
              <w:rPr>
                <w:rFonts w:eastAsia="Times New Roman"/>
                <w:b/>
                <w:bCs/>
                <w:color w:val="0D0D0D" w:themeColor="text1" w:themeTint="F2"/>
              </w:rPr>
              <w:t>Chronic liver diseases HBsAg (+)</w:t>
            </w:r>
          </w:p>
        </w:tc>
        <w:tc>
          <w:tcPr>
            <w:tcW w:w="900" w:type="dxa"/>
            <w:vMerge w:val="restart"/>
            <w:vAlign w:val="center"/>
          </w:tcPr>
          <w:p w14:paraId="421FA8D3" w14:textId="77777777" w:rsidR="00496AF8" w:rsidRPr="00AD5DCE" w:rsidRDefault="00496AF8" w:rsidP="00496AF8">
            <w:pPr>
              <w:spacing w:line="240" w:lineRule="auto"/>
              <w:ind w:left="-90" w:right="-40" w:firstLine="0"/>
              <w:jc w:val="center"/>
              <w:rPr>
                <w:color w:val="0D0D0D" w:themeColor="text1" w:themeTint="F2"/>
              </w:rPr>
            </w:pPr>
            <w:r w:rsidRPr="00AD5DCE">
              <w:rPr>
                <w:color w:val="0D0D0D" w:themeColor="text1" w:themeTint="F2"/>
              </w:rPr>
              <w:t>OR</w:t>
            </w:r>
            <w:r w:rsidRPr="00AD5DCE">
              <w:rPr>
                <w:color w:val="0D0D0D" w:themeColor="text1" w:themeTint="F2"/>
                <w:vertAlign w:val="superscript"/>
              </w:rPr>
              <w:t>*</w:t>
            </w:r>
          </w:p>
          <w:p w14:paraId="539C8151" w14:textId="77777777" w:rsidR="00496AF8" w:rsidRPr="00AD5DCE" w:rsidRDefault="00496AF8" w:rsidP="00496AF8">
            <w:pPr>
              <w:spacing w:line="240" w:lineRule="auto"/>
              <w:ind w:left="-90" w:right="-40" w:firstLine="0"/>
              <w:jc w:val="center"/>
              <w:rPr>
                <w:b/>
                <w:color w:val="0D0D0D" w:themeColor="text1" w:themeTint="F2"/>
                <w:position w:val="-8"/>
              </w:rPr>
            </w:pPr>
            <w:r w:rsidRPr="00AD5DCE">
              <w:rPr>
                <w:color w:val="0D0D0D" w:themeColor="text1" w:themeTint="F2"/>
              </w:rPr>
              <w:t>(95% CI)</w:t>
            </w:r>
          </w:p>
        </w:tc>
        <w:tc>
          <w:tcPr>
            <w:tcW w:w="630" w:type="dxa"/>
            <w:vMerge w:val="restart"/>
            <w:vAlign w:val="center"/>
          </w:tcPr>
          <w:p w14:paraId="3619D206" w14:textId="77777777" w:rsidR="00496AF8" w:rsidRPr="00AD5DCE" w:rsidRDefault="00496AF8" w:rsidP="00496AF8">
            <w:pPr>
              <w:widowControl w:val="0"/>
              <w:autoSpaceDE w:val="0"/>
              <w:autoSpaceDN w:val="0"/>
              <w:spacing w:line="240" w:lineRule="auto"/>
              <w:ind w:left="-90" w:right="-40" w:firstLine="0"/>
              <w:jc w:val="center"/>
              <w:rPr>
                <w:rFonts w:eastAsia="Times New Roman"/>
                <w:b/>
                <w:color w:val="0D0D0D" w:themeColor="text1" w:themeTint="F2"/>
              </w:rPr>
            </w:pPr>
            <w:r w:rsidRPr="00AD5DCE">
              <w:rPr>
                <w:rFonts w:eastAsia="Times New Roman"/>
                <w:b/>
                <w:color w:val="0D0D0D" w:themeColor="text1" w:themeTint="F2"/>
                <w:position w:val="-8"/>
              </w:rPr>
              <w:t>p</w:t>
            </w:r>
          </w:p>
        </w:tc>
      </w:tr>
      <w:tr w:rsidR="00496AF8" w:rsidRPr="00AD5DCE" w14:paraId="197A91A7" w14:textId="77777777" w:rsidTr="00496AF8">
        <w:trPr>
          <w:trHeight w:val="620"/>
        </w:trPr>
        <w:tc>
          <w:tcPr>
            <w:tcW w:w="805" w:type="dxa"/>
            <w:vMerge/>
            <w:tcBorders>
              <w:top w:val="nil"/>
              <w:right w:val="single" w:sz="4" w:space="0" w:color="auto"/>
            </w:tcBorders>
            <w:vAlign w:val="center"/>
          </w:tcPr>
          <w:p w14:paraId="30BFA04B" w14:textId="77777777" w:rsidR="00496AF8" w:rsidRPr="00AD5DCE" w:rsidRDefault="00496AF8" w:rsidP="00496AF8">
            <w:pPr>
              <w:spacing w:line="240" w:lineRule="auto"/>
              <w:ind w:left="-90" w:right="-40" w:firstLine="0"/>
              <w:jc w:val="center"/>
              <w:rPr>
                <w:color w:val="0D0D0D" w:themeColor="text1" w:themeTint="F2"/>
              </w:rPr>
            </w:pPr>
          </w:p>
        </w:tc>
        <w:tc>
          <w:tcPr>
            <w:tcW w:w="990" w:type="dxa"/>
            <w:vMerge/>
            <w:tcBorders>
              <w:top w:val="nil"/>
              <w:right w:val="single" w:sz="4" w:space="0" w:color="auto"/>
            </w:tcBorders>
            <w:vAlign w:val="center"/>
          </w:tcPr>
          <w:p w14:paraId="427528A0" w14:textId="77777777" w:rsidR="00496AF8" w:rsidRPr="00AD5DCE" w:rsidRDefault="00496AF8" w:rsidP="00496AF8">
            <w:pPr>
              <w:spacing w:line="240" w:lineRule="auto"/>
              <w:ind w:left="-90" w:right="-40" w:firstLine="0"/>
              <w:jc w:val="center"/>
              <w:rPr>
                <w:color w:val="0D0D0D" w:themeColor="text1" w:themeTint="F2"/>
              </w:rPr>
            </w:pPr>
          </w:p>
        </w:tc>
        <w:tc>
          <w:tcPr>
            <w:tcW w:w="1265" w:type="dxa"/>
            <w:vMerge/>
            <w:tcBorders>
              <w:top w:val="nil"/>
              <w:right w:val="single" w:sz="4" w:space="0" w:color="auto"/>
            </w:tcBorders>
            <w:vAlign w:val="center"/>
          </w:tcPr>
          <w:p w14:paraId="23A451A0" w14:textId="77777777" w:rsidR="00496AF8" w:rsidRPr="00AD5DCE" w:rsidRDefault="00496AF8" w:rsidP="00496AF8">
            <w:pPr>
              <w:spacing w:line="240" w:lineRule="auto"/>
              <w:ind w:left="-90" w:right="-40" w:firstLine="0"/>
              <w:jc w:val="center"/>
              <w:rPr>
                <w:color w:val="0D0D0D" w:themeColor="text1" w:themeTint="F2"/>
              </w:rPr>
            </w:pPr>
          </w:p>
        </w:tc>
        <w:tc>
          <w:tcPr>
            <w:tcW w:w="1170" w:type="dxa"/>
            <w:tcBorders>
              <w:left w:val="single" w:sz="4" w:space="0" w:color="auto"/>
              <w:right w:val="single" w:sz="4" w:space="0" w:color="auto"/>
            </w:tcBorders>
            <w:vAlign w:val="center"/>
          </w:tcPr>
          <w:p w14:paraId="71DC363F" w14:textId="77777777" w:rsidR="00496AF8" w:rsidRPr="00AD5DCE" w:rsidRDefault="00496AF8" w:rsidP="00496AF8">
            <w:pPr>
              <w:widowControl w:val="0"/>
              <w:autoSpaceDE w:val="0"/>
              <w:autoSpaceDN w:val="0"/>
              <w:spacing w:line="240" w:lineRule="auto"/>
              <w:ind w:left="-90" w:right="-40" w:firstLine="0"/>
              <w:jc w:val="center"/>
              <w:rPr>
                <w:rFonts w:eastAsia="Times New Roman"/>
                <w:bCs/>
                <w:color w:val="0D0D0D" w:themeColor="text1" w:themeTint="F2"/>
              </w:rPr>
            </w:pPr>
            <w:r w:rsidRPr="00AD5DCE">
              <w:rPr>
                <w:rFonts w:eastAsia="Times New Roman"/>
                <w:bCs/>
                <w:color w:val="0D0D0D" w:themeColor="text1" w:themeTint="F2"/>
              </w:rPr>
              <w:t>HCC</w:t>
            </w:r>
          </w:p>
          <w:p w14:paraId="281A07E6" w14:textId="77777777" w:rsidR="00496AF8" w:rsidRPr="00AD5DCE" w:rsidRDefault="00496AF8" w:rsidP="00496AF8">
            <w:pPr>
              <w:widowControl w:val="0"/>
              <w:autoSpaceDE w:val="0"/>
              <w:autoSpaceDN w:val="0"/>
              <w:spacing w:line="240" w:lineRule="auto"/>
              <w:ind w:left="-90" w:right="-40" w:firstLine="0"/>
              <w:jc w:val="center"/>
              <w:rPr>
                <w:rFonts w:eastAsia="Times New Roman"/>
                <w:bCs/>
                <w:color w:val="0D0D0D" w:themeColor="text1" w:themeTint="F2"/>
              </w:rPr>
            </w:pPr>
            <w:r w:rsidRPr="00AD5DCE">
              <w:rPr>
                <w:rFonts w:eastAsia="Times New Roman"/>
                <w:bCs/>
                <w:color w:val="0D0D0D" w:themeColor="text1" w:themeTint="F2"/>
              </w:rPr>
              <w:t>n (%)</w:t>
            </w:r>
          </w:p>
        </w:tc>
        <w:tc>
          <w:tcPr>
            <w:tcW w:w="1080" w:type="dxa"/>
            <w:tcBorders>
              <w:left w:val="single" w:sz="4" w:space="0" w:color="auto"/>
            </w:tcBorders>
            <w:vAlign w:val="center"/>
          </w:tcPr>
          <w:p w14:paraId="09ADC385" w14:textId="77777777" w:rsidR="00496AF8" w:rsidRPr="00AD5DCE" w:rsidRDefault="00496AF8" w:rsidP="00496AF8">
            <w:pPr>
              <w:widowControl w:val="0"/>
              <w:autoSpaceDE w:val="0"/>
              <w:autoSpaceDN w:val="0"/>
              <w:spacing w:line="240" w:lineRule="auto"/>
              <w:ind w:left="-90" w:right="-40" w:firstLine="0"/>
              <w:jc w:val="center"/>
              <w:rPr>
                <w:rFonts w:eastAsia="Times New Roman"/>
                <w:bCs/>
                <w:color w:val="0D0D0D" w:themeColor="text1" w:themeTint="F2"/>
                <w:lang w:val="vi-VN"/>
              </w:rPr>
            </w:pPr>
            <w:r w:rsidRPr="00AD5DCE">
              <w:rPr>
                <w:rFonts w:eastAsia="Times New Roman"/>
                <w:bCs/>
                <w:color w:val="0D0D0D" w:themeColor="text1" w:themeTint="F2"/>
              </w:rPr>
              <w:t>No</w:t>
            </w:r>
            <w:r w:rsidRPr="00AD5DCE">
              <w:rPr>
                <w:rFonts w:eastAsia="Times New Roman"/>
                <w:bCs/>
                <w:color w:val="0D0D0D" w:themeColor="text1" w:themeTint="F2"/>
                <w:lang w:val="vi-VN"/>
              </w:rPr>
              <w:t xml:space="preserve"> HCC</w:t>
            </w:r>
          </w:p>
          <w:p w14:paraId="6A328B4C" w14:textId="77777777" w:rsidR="00496AF8" w:rsidRPr="00AD5DCE" w:rsidRDefault="00496AF8" w:rsidP="00496AF8">
            <w:pPr>
              <w:widowControl w:val="0"/>
              <w:autoSpaceDE w:val="0"/>
              <w:autoSpaceDN w:val="0"/>
              <w:spacing w:line="240" w:lineRule="auto"/>
              <w:ind w:left="-90" w:right="-40" w:firstLine="0"/>
              <w:jc w:val="center"/>
              <w:rPr>
                <w:rFonts w:eastAsia="Times New Roman"/>
                <w:bCs/>
                <w:color w:val="0D0D0D" w:themeColor="text1" w:themeTint="F2"/>
              </w:rPr>
            </w:pPr>
            <w:r w:rsidRPr="00AD5DCE">
              <w:rPr>
                <w:rFonts w:eastAsia="Times New Roman"/>
                <w:bCs/>
                <w:color w:val="0D0D0D" w:themeColor="text1" w:themeTint="F2"/>
              </w:rPr>
              <w:t>n (%)</w:t>
            </w:r>
          </w:p>
        </w:tc>
        <w:tc>
          <w:tcPr>
            <w:tcW w:w="900" w:type="dxa"/>
            <w:vMerge/>
            <w:vAlign w:val="center"/>
          </w:tcPr>
          <w:p w14:paraId="3016D57A" w14:textId="77777777" w:rsidR="00496AF8" w:rsidRPr="00AD5DCE" w:rsidRDefault="00496AF8" w:rsidP="00496AF8">
            <w:pPr>
              <w:spacing w:line="240" w:lineRule="auto"/>
              <w:ind w:left="-90" w:right="-40" w:firstLine="0"/>
              <w:jc w:val="center"/>
              <w:rPr>
                <w:color w:val="0D0D0D" w:themeColor="text1" w:themeTint="F2"/>
              </w:rPr>
            </w:pPr>
          </w:p>
        </w:tc>
        <w:tc>
          <w:tcPr>
            <w:tcW w:w="630" w:type="dxa"/>
            <w:vMerge/>
            <w:tcBorders>
              <w:top w:val="nil"/>
            </w:tcBorders>
            <w:vAlign w:val="center"/>
          </w:tcPr>
          <w:p w14:paraId="77086E40" w14:textId="77777777" w:rsidR="00496AF8" w:rsidRPr="00AD5DCE" w:rsidRDefault="00496AF8" w:rsidP="00496AF8">
            <w:pPr>
              <w:spacing w:line="240" w:lineRule="auto"/>
              <w:ind w:left="-90" w:right="-40" w:firstLine="0"/>
              <w:jc w:val="center"/>
              <w:rPr>
                <w:color w:val="0D0D0D" w:themeColor="text1" w:themeTint="F2"/>
              </w:rPr>
            </w:pPr>
          </w:p>
        </w:tc>
      </w:tr>
      <w:tr w:rsidR="00496AF8" w:rsidRPr="00AD5DCE" w14:paraId="5ED970AF" w14:textId="77777777" w:rsidTr="00496AF8">
        <w:trPr>
          <w:trHeight w:val="336"/>
        </w:trPr>
        <w:tc>
          <w:tcPr>
            <w:tcW w:w="805" w:type="dxa"/>
            <w:vMerge w:val="restart"/>
            <w:tcBorders>
              <w:right w:val="single" w:sz="4" w:space="0" w:color="auto"/>
            </w:tcBorders>
            <w:vAlign w:val="center"/>
          </w:tcPr>
          <w:p w14:paraId="0E3265A6"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51</w:t>
            </w:r>
          </w:p>
        </w:tc>
        <w:tc>
          <w:tcPr>
            <w:tcW w:w="990" w:type="dxa"/>
            <w:vMerge w:val="restart"/>
            <w:tcBorders>
              <w:left w:val="single" w:sz="4" w:space="0" w:color="auto"/>
              <w:right w:val="single" w:sz="4" w:space="0" w:color="auto"/>
            </w:tcBorders>
            <w:vAlign w:val="center"/>
          </w:tcPr>
          <w:p w14:paraId="3E724AB3"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C</w:t>
            </w:r>
          </w:p>
          <w:p w14:paraId="41A8941D"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(n=77)</w:t>
            </w:r>
          </w:p>
        </w:tc>
        <w:tc>
          <w:tcPr>
            <w:tcW w:w="1265" w:type="dxa"/>
            <w:tcBorders>
              <w:left w:val="single" w:sz="4" w:space="0" w:color="auto"/>
            </w:tcBorders>
            <w:vAlign w:val="center"/>
          </w:tcPr>
          <w:p w14:paraId="7B46E344" w14:textId="77777777" w:rsidR="00496AF8" w:rsidRPr="00AD5DCE" w:rsidRDefault="00496AF8" w:rsidP="00496AF8">
            <w:pPr>
              <w:widowControl w:val="0"/>
              <w:autoSpaceDE w:val="0"/>
              <w:autoSpaceDN w:val="0"/>
              <w:spacing w:line="240" w:lineRule="auto"/>
              <w:ind w:right="-40" w:firstLine="0"/>
              <w:jc w:val="center"/>
              <w:rPr>
                <w:rFonts w:eastAsia="Times New Roman"/>
                <w:color w:val="0D0D0D" w:themeColor="text1" w:themeTint="F2"/>
              </w:rPr>
            </w:pPr>
            <w:r w:rsidRPr="00AD5DCE">
              <w:rPr>
                <w:rFonts w:eastAsia="Times New Roman"/>
                <w:color w:val="0D0D0D" w:themeColor="text1" w:themeTint="F2"/>
              </w:rPr>
              <w:t>H51Q/R/N/P</w:t>
            </w:r>
          </w:p>
        </w:tc>
        <w:tc>
          <w:tcPr>
            <w:tcW w:w="1170" w:type="dxa"/>
            <w:vAlign w:val="center"/>
          </w:tcPr>
          <w:p w14:paraId="69899386"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23 (31.1)</w:t>
            </w:r>
          </w:p>
        </w:tc>
        <w:tc>
          <w:tcPr>
            <w:tcW w:w="1080" w:type="dxa"/>
            <w:vAlign w:val="center"/>
          </w:tcPr>
          <w:p w14:paraId="5DED6434"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51 (68.9)</w:t>
            </w:r>
          </w:p>
        </w:tc>
        <w:tc>
          <w:tcPr>
            <w:tcW w:w="900" w:type="dxa"/>
            <w:vMerge w:val="restart"/>
            <w:vAlign w:val="center"/>
          </w:tcPr>
          <w:p w14:paraId="772A07A3"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0.3</w:t>
            </w:r>
          </w:p>
          <w:p w14:paraId="2273F5DF"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(0.02-3.5)</w:t>
            </w:r>
          </w:p>
        </w:tc>
        <w:tc>
          <w:tcPr>
            <w:tcW w:w="630" w:type="dxa"/>
            <w:vMerge w:val="restart"/>
            <w:vAlign w:val="center"/>
          </w:tcPr>
          <w:p w14:paraId="55AC3704"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p w14:paraId="4AC76779"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0.324</w:t>
            </w:r>
          </w:p>
        </w:tc>
      </w:tr>
      <w:tr w:rsidR="00496AF8" w:rsidRPr="00AD5DCE" w14:paraId="0453080A" w14:textId="77777777" w:rsidTr="00496AF8">
        <w:trPr>
          <w:trHeight w:val="311"/>
        </w:trPr>
        <w:tc>
          <w:tcPr>
            <w:tcW w:w="805" w:type="dxa"/>
            <w:vMerge/>
            <w:tcBorders>
              <w:right w:val="single" w:sz="4" w:space="0" w:color="auto"/>
            </w:tcBorders>
            <w:vAlign w:val="center"/>
          </w:tcPr>
          <w:p w14:paraId="56C4E0B6"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c>
          <w:tcPr>
            <w:tcW w:w="990" w:type="dxa"/>
            <w:vMerge/>
            <w:tcBorders>
              <w:left w:val="single" w:sz="4" w:space="0" w:color="auto"/>
              <w:right w:val="single" w:sz="4" w:space="0" w:color="auto"/>
            </w:tcBorders>
            <w:vAlign w:val="center"/>
          </w:tcPr>
          <w:p w14:paraId="59ED789D"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c>
          <w:tcPr>
            <w:tcW w:w="1265" w:type="dxa"/>
            <w:tcBorders>
              <w:left w:val="single" w:sz="4" w:space="0" w:color="auto"/>
            </w:tcBorders>
            <w:vAlign w:val="center"/>
          </w:tcPr>
          <w:p w14:paraId="0638F85B" w14:textId="77777777" w:rsidR="00496AF8" w:rsidRPr="00AD5DCE" w:rsidRDefault="00496AF8" w:rsidP="00496AF8">
            <w:pPr>
              <w:widowControl w:val="0"/>
              <w:autoSpaceDE w:val="0"/>
              <w:autoSpaceDN w:val="0"/>
              <w:spacing w:line="240" w:lineRule="auto"/>
              <w:ind w:right="-40" w:firstLine="0"/>
              <w:jc w:val="center"/>
              <w:rPr>
                <w:rFonts w:eastAsia="Times New Roman"/>
                <w:color w:val="0D0D0D" w:themeColor="text1" w:themeTint="F2"/>
                <w:lang w:val="vi-VN"/>
              </w:rPr>
            </w:pPr>
            <w:r w:rsidRPr="00AD5DCE">
              <w:rPr>
                <w:rFonts w:eastAsia="Times New Roman"/>
                <w:color w:val="0D0D0D" w:themeColor="text1" w:themeTint="F2"/>
              </w:rPr>
              <w:t>No</w:t>
            </w:r>
            <w:r w:rsidRPr="00AD5DCE">
              <w:rPr>
                <w:rFonts w:eastAsia="Times New Roman"/>
                <w:color w:val="0D0D0D" w:themeColor="text1" w:themeTint="F2"/>
                <w:lang w:val="vi-VN"/>
              </w:rPr>
              <w:t xml:space="preserve"> mutation</w:t>
            </w:r>
          </w:p>
        </w:tc>
        <w:tc>
          <w:tcPr>
            <w:tcW w:w="1170" w:type="dxa"/>
            <w:vAlign w:val="center"/>
          </w:tcPr>
          <w:p w14:paraId="529C5BF4"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2 (66.7)</w:t>
            </w:r>
          </w:p>
        </w:tc>
        <w:tc>
          <w:tcPr>
            <w:tcW w:w="1080" w:type="dxa"/>
            <w:vAlign w:val="center"/>
          </w:tcPr>
          <w:p w14:paraId="53806F83"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1 (33.3)</w:t>
            </w:r>
          </w:p>
        </w:tc>
        <w:tc>
          <w:tcPr>
            <w:tcW w:w="900" w:type="dxa"/>
            <w:vMerge/>
            <w:vAlign w:val="center"/>
          </w:tcPr>
          <w:p w14:paraId="0142E68F"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c>
          <w:tcPr>
            <w:tcW w:w="630" w:type="dxa"/>
            <w:vMerge/>
            <w:tcBorders>
              <w:bottom w:val="single" w:sz="4" w:space="0" w:color="auto"/>
            </w:tcBorders>
            <w:vAlign w:val="center"/>
          </w:tcPr>
          <w:p w14:paraId="7E93B9FD"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r>
      <w:tr w:rsidR="00496AF8" w:rsidRPr="00AD5DCE" w14:paraId="2EAC0C1C" w14:textId="77777777" w:rsidTr="00496AF8">
        <w:trPr>
          <w:trHeight w:val="458"/>
        </w:trPr>
        <w:tc>
          <w:tcPr>
            <w:tcW w:w="805" w:type="dxa"/>
            <w:vMerge/>
            <w:tcBorders>
              <w:right w:val="single" w:sz="4" w:space="0" w:color="auto"/>
            </w:tcBorders>
            <w:vAlign w:val="center"/>
          </w:tcPr>
          <w:p w14:paraId="006820A8"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c>
          <w:tcPr>
            <w:tcW w:w="990" w:type="dxa"/>
            <w:vMerge w:val="restart"/>
            <w:tcBorders>
              <w:left w:val="single" w:sz="4" w:space="0" w:color="auto"/>
              <w:right w:val="single" w:sz="4" w:space="0" w:color="auto"/>
            </w:tcBorders>
            <w:vAlign w:val="center"/>
          </w:tcPr>
          <w:p w14:paraId="35B98946"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B (n=191)</w:t>
            </w:r>
          </w:p>
        </w:tc>
        <w:tc>
          <w:tcPr>
            <w:tcW w:w="1265" w:type="dxa"/>
            <w:tcBorders>
              <w:left w:val="single" w:sz="4" w:space="0" w:color="auto"/>
            </w:tcBorders>
            <w:vAlign w:val="center"/>
          </w:tcPr>
          <w:p w14:paraId="29D41DC5" w14:textId="77777777" w:rsidR="00496AF8" w:rsidRPr="00AD5DCE" w:rsidRDefault="00496AF8" w:rsidP="00496AF8">
            <w:pPr>
              <w:widowControl w:val="0"/>
              <w:autoSpaceDE w:val="0"/>
              <w:autoSpaceDN w:val="0"/>
              <w:spacing w:line="240" w:lineRule="auto"/>
              <w:ind w:right="-40" w:firstLine="0"/>
              <w:jc w:val="center"/>
              <w:rPr>
                <w:rFonts w:eastAsia="Times New Roman"/>
                <w:color w:val="0D0D0D" w:themeColor="text1" w:themeTint="F2"/>
              </w:rPr>
            </w:pPr>
            <w:r w:rsidRPr="00AD5DCE">
              <w:rPr>
                <w:rFonts w:eastAsia="Times New Roman"/>
                <w:color w:val="0D0D0D" w:themeColor="text1" w:themeTint="F2"/>
              </w:rPr>
              <w:t>N51M/Y/P/T/D/S/K/Q</w:t>
            </w:r>
          </w:p>
        </w:tc>
        <w:tc>
          <w:tcPr>
            <w:tcW w:w="1170" w:type="dxa"/>
            <w:vAlign w:val="center"/>
          </w:tcPr>
          <w:p w14:paraId="4986E08A"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8 (66.7)</w:t>
            </w:r>
          </w:p>
        </w:tc>
        <w:tc>
          <w:tcPr>
            <w:tcW w:w="1080" w:type="dxa"/>
            <w:vAlign w:val="center"/>
          </w:tcPr>
          <w:p w14:paraId="5660DD08"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4 (33.3)</w:t>
            </w:r>
          </w:p>
        </w:tc>
        <w:tc>
          <w:tcPr>
            <w:tcW w:w="900" w:type="dxa"/>
            <w:vMerge w:val="restart"/>
            <w:tcBorders>
              <w:right w:val="single" w:sz="4" w:space="0" w:color="auto"/>
            </w:tcBorders>
            <w:vAlign w:val="center"/>
          </w:tcPr>
          <w:p w14:paraId="5D0C6002"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r w:rsidRPr="00AD5DCE">
              <w:rPr>
                <w:rFonts w:eastAsia="Times New Roman"/>
                <w:b/>
                <w:bCs/>
                <w:color w:val="0D0D0D" w:themeColor="text1" w:themeTint="F2"/>
              </w:rPr>
              <w:t>5.0</w:t>
            </w:r>
          </w:p>
          <w:p w14:paraId="3ECC2057"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r w:rsidRPr="00AD5DCE">
              <w:rPr>
                <w:rFonts w:eastAsia="Times New Roman"/>
                <w:b/>
                <w:bCs/>
                <w:color w:val="0D0D0D" w:themeColor="text1" w:themeTint="F2"/>
              </w:rPr>
              <w:t>(1.2-20.8)</w:t>
            </w:r>
          </w:p>
        </w:tc>
        <w:tc>
          <w:tcPr>
            <w:tcW w:w="630" w:type="dxa"/>
            <w:vMerge w:val="restart"/>
            <w:tcBorders>
              <w:top w:val="single" w:sz="4" w:space="0" w:color="auto"/>
              <w:left w:val="single" w:sz="4" w:space="0" w:color="auto"/>
            </w:tcBorders>
            <w:vAlign w:val="center"/>
          </w:tcPr>
          <w:p w14:paraId="38018DDC"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r w:rsidRPr="00AD5DCE">
              <w:rPr>
                <w:rFonts w:eastAsia="Times New Roman"/>
                <w:b/>
                <w:bCs/>
                <w:color w:val="0D0D0D" w:themeColor="text1" w:themeTint="F2"/>
              </w:rPr>
              <w:t>0.028</w:t>
            </w:r>
          </w:p>
        </w:tc>
      </w:tr>
      <w:tr w:rsidR="00496AF8" w:rsidRPr="00AD5DCE" w14:paraId="02A5396D" w14:textId="77777777" w:rsidTr="00496AF8">
        <w:trPr>
          <w:trHeight w:val="284"/>
        </w:trPr>
        <w:tc>
          <w:tcPr>
            <w:tcW w:w="805" w:type="dxa"/>
            <w:vMerge/>
            <w:tcBorders>
              <w:right w:val="single" w:sz="4" w:space="0" w:color="auto"/>
            </w:tcBorders>
            <w:vAlign w:val="center"/>
          </w:tcPr>
          <w:p w14:paraId="19596A30"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c>
          <w:tcPr>
            <w:tcW w:w="990" w:type="dxa"/>
            <w:vMerge/>
            <w:tcBorders>
              <w:left w:val="single" w:sz="4" w:space="0" w:color="auto"/>
              <w:bottom w:val="single" w:sz="4" w:space="0" w:color="auto"/>
              <w:right w:val="single" w:sz="4" w:space="0" w:color="auto"/>
            </w:tcBorders>
            <w:vAlign w:val="center"/>
          </w:tcPr>
          <w:p w14:paraId="164B6904"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c>
          <w:tcPr>
            <w:tcW w:w="1265" w:type="dxa"/>
            <w:tcBorders>
              <w:left w:val="single" w:sz="4" w:space="0" w:color="auto"/>
            </w:tcBorders>
            <w:vAlign w:val="center"/>
          </w:tcPr>
          <w:p w14:paraId="66086D0E" w14:textId="77777777" w:rsidR="00496AF8" w:rsidRPr="00AD5DCE" w:rsidRDefault="00496AF8" w:rsidP="00496AF8">
            <w:pPr>
              <w:widowControl w:val="0"/>
              <w:autoSpaceDE w:val="0"/>
              <w:autoSpaceDN w:val="0"/>
              <w:spacing w:line="240" w:lineRule="auto"/>
              <w:ind w:right="-40" w:firstLine="0"/>
              <w:jc w:val="center"/>
              <w:rPr>
                <w:rFonts w:eastAsia="Times New Roman"/>
                <w:color w:val="0D0D0D" w:themeColor="text1" w:themeTint="F2"/>
              </w:rPr>
            </w:pPr>
            <w:r w:rsidRPr="00AD5DCE">
              <w:rPr>
                <w:rFonts w:eastAsia="Times New Roman"/>
                <w:color w:val="0D0D0D" w:themeColor="text1" w:themeTint="F2"/>
              </w:rPr>
              <w:t>No</w:t>
            </w:r>
            <w:r w:rsidRPr="00AD5DCE">
              <w:rPr>
                <w:rFonts w:eastAsia="Times New Roman"/>
                <w:color w:val="0D0D0D" w:themeColor="text1" w:themeTint="F2"/>
                <w:lang w:val="vi-VN"/>
              </w:rPr>
              <w:t xml:space="preserve"> mutation</w:t>
            </w:r>
          </w:p>
        </w:tc>
        <w:tc>
          <w:tcPr>
            <w:tcW w:w="1170" w:type="dxa"/>
            <w:vAlign w:val="center"/>
          </w:tcPr>
          <w:p w14:paraId="6C4CB189"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55 (30.7)</w:t>
            </w:r>
          </w:p>
        </w:tc>
        <w:tc>
          <w:tcPr>
            <w:tcW w:w="1080" w:type="dxa"/>
            <w:vAlign w:val="center"/>
          </w:tcPr>
          <w:p w14:paraId="5543D3D9"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124 (69.3)</w:t>
            </w:r>
          </w:p>
        </w:tc>
        <w:tc>
          <w:tcPr>
            <w:tcW w:w="900" w:type="dxa"/>
            <w:vMerge/>
            <w:tcBorders>
              <w:bottom w:val="single" w:sz="4" w:space="0" w:color="auto"/>
              <w:right w:val="single" w:sz="4" w:space="0" w:color="auto"/>
            </w:tcBorders>
            <w:vAlign w:val="center"/>
          </w:tcPr>
          <w:p w14:paraId="26230812"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p>
        </w:tc>
        <w:tc>
          <w:tcPr>
            <w:tcW w:w="630" w:type="dxa"/>
            <w:vMerge/>
            <w:tcBorders>
              <w:top w:val="single" w:sz="4" w:space="0" w:color="auto"/>
              <w:left w:val="single" w:sz="4" w:space="0" w:color="auto"/>
              <w:bottom w:val="single" w:sz="4" w:space="0" w:color="auto"/>
            </w:tcBorders>
            <w:vAlign w:val="center"/>
          </w:tcPr>
          <w:p w14:paraId="28F96505"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p>
        </w:tc>
      </w:tr>
      <w:tr w:rsidR="00496AF8" w:rsidRPr="00AD5DCE" w14:paraId="1AC842C9" w14:textId="77777777" w:rsidTr="00496AF8">
        <w:trPr>
          <w:trHeight w:val="202"/>
        </w:trPr>
        <w:tc>
          <w:tcPr>
            <w:tcW w:w="805" w:type="dxa"/>
            <w:vMerge/>
            <w:tcBorders>
              <w:right w:val="single" w:sz="4" w:space="0" w:color="auto"/>
            </w:tcBorders>
            <w:vAlign w:val="center"/>
          </w:tcPr>
          <w:p w14:paraId="1798BE73"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c>
          <w:tcPr>
            <w:tcW w:w="990" w:type="dxa"/>
            <w:vMerge w:val="restart"/>
            <w:tcBorders>
              <w:top w:val="single" w:sz="4" w:space="0" w:color="auto"/>
              <w:left w:val="single" w:sz="4" w:space="0" w:color="auto"/>
              <w:right w:val="single" w:sz="4" w:space="0" w:color="auto"/>
            </w:tcBorders>
            <w:vAlign w:val="center"/>
          </w:tcPr>
          <w:p w14:paraId="59CF0FEE" w14:textId="77777777" w:rsidR="00496AF8" w:rsidRPr="00AD5DCE" w:rsidRDefault="00496AF8" w:rsidP="00496AF8">
            <w:pPr>
              <w:widowControl w:val="0"/>
              <w:autoSpaceDE w:val="0"/>
              <w:autoSpaceDN w:val="0"/>
              <w:spacing w:line="240" w:lineRule="auto"/>
              <w:ind w:left="-90" w:right="-40" w:firstLine="0"/>
              <w:jc w:val="center"/>
              <w:rPr>
                <w:color w:val="0D0D0D" w:themeColor="text1" w:themeTint="F2"/>
              </w:rPr>
            </w:pPr>
            <w:r w:rsidRPr="00AD5DCE">
              <w:rPr>
                <w:color w:val="0D0D0D" w:themeColor="text1" w:themeTint="F2"/>
              </w:rPr>
              <w:t>D and</w:t>
            </w:r>
            <w:r w:rsidRPr="00AD5DCE">
              <w:rPr>
                <w:color w:val="0D0D0D" w:themeColor="text1" w:themeTint="F2"/>
                <w:lang w:val="vi-VN"/>
              </w:rPr>
              <w:t xml:space="preserve"> </w:t>
            </w:r>
            <w:r w:rsidRPr="00AD5DCE">
              <w:rPr>
                <w:color w:val="0D0D0D" w:themeColor="text1" w:themeTint="F2"/>
              </w:rPr>
              <w:t xml:space="preserve"> I</w:t>
            </w:r>
          </w:p>
          <w:p w14:paraId="77A2F93F"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(n=5)</w:t>
            </w:r>
          </w:p>
        </w:tc>
        <w:tc>
          <w:tcPr>
            <w:tcW w:w="1265" w:type="dxa"/>
            <w:tcBorders>
              <w:left w:val="single" w:sz="4" w:space="0" w:color="auto"/>
            </w:tcBorders>
            <w:vAlign w:val="center"/>
          </w:tcPr>
          <w:p w14:paraId="4240D348" w14:textId="77777777" w:rsidR="00496AF8" w:rsidRPr="00AD5DCE" w:rsidRDefault="00496AF8" w:rsidP="00496AF8">
            <w:pPr>
              <w:widowControl w:val="0"/>
              <w:autoSpaceDE w:val="0"/>
              <w:autoSpaceDN w:val="0"/>
              <w:spacing w:line="240" w:lineRule="auto"/>
              <w:ind w:right="-40" w:firstLine="0"/>
              <w:jc w:val="center"/>
              <w:rPr>
                <w:rFonts w:eastAsia="Times New Roman"/>
                <w:color w:val="0D0D0D" w:themeColor="text1" w:themeTint="F2"/>
              </w:rPr>
            </w:pPr>
            <w:r w:rsidRPr="00AD5DCE">
              <w:rPr>
                <w:rFonts w:eastAsia="Times New Roman"/>
                <w:color w:val="0D0D0D" w:themeColor="text1" w:themeTint="F2"/>
              </w:rPr>
              <w:t>Yes</w:t>
            </w:r>
          </w:p>
        </w:tc>
        <w:tc>
          <w:tcPr>
            <w:tcW w:w="1170" w:type="dxa"/>
            <w:vAlign w:val="center"/>
          </w:tcPr>
          <w:p w14:paraId="4BF6527D"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0 (0)</w:t>
            </w:r>
          </w:p>
        </w:tc>
        <w:tc>
          <w:tcPr>
            <w:tcW w:w="1080" w:type="dxa"/>
            <w:vAlign w:val="center"/>
          </w:tcPr>
          <w:p w14:paraId="43C75D60"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0 (0)</w:t>
            </w:r>
          </w:p>
        </w:tc>
        <w:tc>
          <w:tcPr>
            <w:tcW w:w="900" w:type="dxa"/>
            <w:vMerge w:val="restart"/>
            <w:tcBorders>
              <w:top w:val="single" w:sz="4" w:space="0" w:color="auto"/>
            </w:tcBorders>
            <w:vAlign w:val="center"/>
          </w:tcPr>
          <w:p w14:paraId="52560F27"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r w:rsidRPr="00AD5DCE">
              <w:rPr>
                <w:rFonts w:eastAsia="Times New Roman"/>
                <w:b/>
                <w:bCs/>
                <w:color w:val="0D0D0D" w:themeColor="text1" w:themeTint="F2"/>
              </w:rPr>
              <w:t>-</w:t>
            </w:r>
          </w:p>
        </w:tc>
        <w:tc>
          <w:tcPr>
            <w:tcW w:w="630" w:type="dxa"/>
            <w:vMerge w:val="restart"/>
            <w:tcBorders>
              <w:top w:val="single" w:sz="4" w:space="0" w:color="auto"/>
            </w:tcBorders>
            <w:vAlign w:val="center"/>
          </w:tcPr>
          <w:p w14:paraId="4A903EDB"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r w:rsidRPr="00AD5DCE">
              <w:rPr>
                <w:rFonts w:eastAsia="Times New Roman"/>
                <w:b/>
                <w:bCs/>
                <w:color w:val="0D0D0D" w:themeColor="text1" w:themeTint="F2"/>
              </w:rPr>
              <w:t>-</w:t>
            </w:r>
          </w:p>
        </w:tc>
      </w:tr>
      <w:tr w:rsidR="00496AF8" w:rsidRPr="00AD5DCE" w14:paraId="26D2FA9A" w14:textId="77777777" w:rsidTr="00496AF8">
        <w:trPr>
          <w:trHeight w:val="331"/>
        </w:trPr>
        <w:tc>
          <w:tcPr>
            <w:tcW w:w="805" w:type="dxa"/>
            <w:vMerge/>
            <w:tcBorders>
              <w:bottom w:val="single" w:sz="4" w:space="0" w:color="auto"/>
              <w:right w:val="single" w:sz="4" w:space="0" w:color="auto"/>
            </w:tcBorders>
            <w:vAlign w:val="center"/>
          </w:tcPr>
          <w:p w14:paraId="0FB6C9BA"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p>
        </w:tc>
        <w:tc>
          <w:tcPr>
            <w:tcW w:w="990" w:type="dxa"/>
            <w:vMerge/>
            <w:tcBorders>
              <w:left w:val="single" w:sz="4" w:space="0" w:color="auto"/>
              <w:bottom w:val="single" w:sz="4" w:space="0" w:color="auto"/>
              <w:right w:val="single" w:sz="4" w:space="0" w:color="auto"/>
            </w:tcBorders>
            <w:vAlign w:val="center"/>
          </w:tcPr>
          <w:p w14:paraId="72659A97" w14:textId="77777777" w:rsidR="00496AF8" w:rsidRPr="00AD5DCE" w:rsidRDefault="00496AF8" w:rsidP="00496AF8">
            <w:pPr>
              <w:widowControl w:val="0"/>
              <w:autoSpaceDE w:val="0"/>
              <w:autoSpaceDN w:val="0"/>
              <w:spacing w:line="240" w:lineRule="auto"/>
              <w:ind w:left="-90" w:right="-40" w:firstLine="0"/>
              <w:jc w:val="center"/>
              <w:rPr>
                <w:color w:val="0D0D0D" w:themeColor="text1" w:themeTint="F2"/>
              </w:rPr>
            </w:pPr>
          </w:p>
        </w:tc>
        <w:tc>
          <w:tcPr>
            <w:tcW w:w="1265" w:type="dxa"/>
            <w:tcBorders>
              <w:left w:val="single" w:sz="4" w:space="0" w:color="auto"/>
              <w:bottom w:val="single" w:sz="4" w:space="0" w:color="auto"/>
            </w:tcBorders>
            <w:vAlign w:val="center"/>
          </w:tcPr>
          <w:p w14:paraId="3EE891A2" w14:textId="77777777" w:rsidR="00496AF8" w:rsidRPr="00AD5DCE" w:rsidRDefault="00496AF8" w:rsidP="00496AF8">
            <w:pPr>
              <w:widowControl w:val="0"/>
              <w:autoSpaceDE w:val="0"/>
              <w:autoSpaceDN w:val="0"/>
              <w:spacing w:line="240" w:lineRule="auto"/>
              <w:ind w:right="-40" w:firstLine="0"/>
              <w:jc w:val="center"/>
              <w:rPr>
                <w:rFonts w:eastAsia="Times New Roman"/>
                <w:color w:val="0D0D0D" w:themeColor="text1" w:themeTint="F2"/>
              </w:rPr>
            </w:pPr>
            <w:r w:rsidRPr="00AD5DCE">
              <w:rPr>
                <w:rFonts w:eastAsia="Times New Roman"/>
                <w:color w:val="0D0D0D" w:themeColor="text1" w:themeTint="F2"/>
              </w:rPr>
              <w:t>No</w:t>
            </w:r>
            <w:r w:rsidRPr="00AD5DCE">
              <w:rPr>
                <w:rFonts w:eastAsia="Times New Roman"/>
                <w:color w:val="0D0D0D" w:themeColor="text1" w:themeTint="F2"/>
                <w:lang w:val="vi-VN"/>
              </w:rPr>
              <w:t xml:space="preserve"> mutation</w:t>
            </w:r>
          </w:p>
        </w:tc>
        <w:tc>
          <w:tcPr>
            <w:tcW w:w="1170" w:type="dxa"/>
            <w:vAlign w:val="center"/>
          </w:tcPr>
          <w:p w14:paraId="7B27DA93"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2 (100)</w:t>
            </w:r>
          </w:p>
        </w:tc>
        <w:tc>
          <w:tcPr>
            <w:tcW w:w="1080" w:type="dxa"/>
            <w:vAlign w:val="center"/>
          </w:tcPr>
          <w:p w14:paraId="42F93ABB" w14:textId="77777777" w:rsidR="00496AF8" w:rsidRPr="00AD5DCE" w:rsidRDefault="00496AF8" w:rsidP="00496AF8">
            <w:pPr>
              <w:widowControl w:val="0"/>
              <w:autoSpaceDE w:val="0"/>
              <w:autoSpaceDN w:val="0"/>
              <w:spacing w:line="240" w:lineRule="auto"/>
              <w:ind w:left="-90" w:right="-40" w:firstLine="0"/>
              <w:jc w:val="center"/>
              <w:rPr>
                <w:rFonts w:eastAsia="Times New Roman"/>
                <w:color w:val="0D0D0D" w:themeColor="text1" w:themeTint="F2"/>
              </w:rPr>
            </w:pPr>
            <w:r w:rsidRPr="00AD5DCE">
              <w:rPr>
                <w:rFonts w:eastAsia="Times New Roman"/>
                <w:color w:val="0D0D0D" w:themeColor="text1" w:themeTint="F2"/>
              </w:rPr>
              <w:t>3(100)</w:t>
            </w:r>
          </w:p>
        </w:tc>
        <w:tc>
          <w:tcPr>
            <w:tcW w:w="900" w:type="dxa"/>
            <w:vMerge/>
            <w:vAlign w:val="center"/>
          </w:tcPr>
          <w:p w14:paraId="6E4EDF30"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p>
        </w:tc>
        <w:tc>
          <w:tcPr>
            <w:tcW w:w="630" w:type="dxa"/>
            <w:vMerge/>
            <w:tcBorders>
              <w:bottom w:val="single" w:sz="4" w:space="0" w:color="auto"/>
            </w:tcBorders>
            <w:vAlign w:val="center"/>
          </w:tcPr>
          <w:p w14:paraId="62D52AAC" w14:textId="77777777" w:rsidR="00496AF8" w:rsidRPr="00AD5DCE" w:rsidRDefault="00496AF8" w:rsidP="00496AF8">
            <w:pPr>
              <w:widowControl w:val="0"/>
              <w:autoSpaceDE w:val="0"/>
              <w:autoSpaceDN w:val="0"/>
              <w:spacing w:line="240" w:lineRule="auto"/>
              <w:ind w:left="-90" w:right="-40" w:firstLine="0"/>
              <w:jc w:val="center"/>
              <w:rPr>
                <w:rFonts w:eastAsia="Times New Roman"/>
                <w:b/>
                <w:bCs/>
                <w:color w:val="0D0D0D" w:themeColor="text1" w:themeTint="F2"/>
              </w:rPr>
            </w:pPr>
          </w:p>
        </w:tc>
      </w:tr>
    </w:tbl>
    <w:p w14:paraId="598C2FA8" w14:textId="20B3DED5" w:rsidR="00556026" w:rsidRPr="00AD5DCE" w:rsidRDefault="006771C0" w:rsidP="00556026">
      <w:pPr>
        <w:keepNext/>
        <w:jc w:val="center"/>
        <w:rPr>
          <w:b/>
          <w:bCs/>
          <w:color w:val="0D0D0D" w:themeColor="text1" w:themeTint="F2"/>
          <w:lang w:val="vi-VN"/>
        </w:rPr>
      </w:pPr>
      <w:r w:rsidRPr="00AD5DCE">
        <w:rPr>
          <w:b/>
          <w:bCs/>
          <w:color w:val="0D0D0D" w:themeColor="text1" w:themeTint="F2"/>
        </w:rPr>
        <w:t xml:space="preserve">Table 3.6. Association </w:t>
      </w:r>
      <w:r w:rsidR="00EF225C" w:rsidRPr="00AD5DCE">
        <w:rPr>
          <w:b/>
          <w:bCs/>
          <w:color w:val="0D0D0D" w:themeColor="text1" w:themeTint="F2"/>
        </w:rPr>
        <w:t xml:space="preserve">between </w:t>
      </w:r>
      <w:r w:rsidRPr="00AD5DCE">
        <w:rPr>
          <w:b/>
          <w:bCs/>
          <w:color w:val="0D0D0D" w:themeColor="text1" w:themeTint="F2"/>
        </w:rPr>
        <w:t xml:space="preserve">HBV </w:t>
      </w:r>
      <w:r w:rsidR="00EF225C" w:rsidRPr="00AD5DCE">
        <w:rPr>
          <w:b/>
          <w:bCs/>
          <w:color w:val="0D0D0D" w:themeColor="text1" w:themeTint="F2"/>
        </w:rPr>
        <w:t>genotype and disease groups</w:t>
      </w:r>
    </w:p>
    <w:p w14:paraId="31588B32" w14:textId="4DF67217" w:rsidR="00556026" w:rsidRPr="00AD5DCE" w:rsidRDefault="006771C0" w:rsidP="00AD5DCE">
      <w:pPr>
        <w:spacing w:line="340" w:lineRule="exact"/>
        <w:ind w:firstLine="562"/>
        <w:jc w:val="left"/>
        <w:rPr>
          <w:rFonts w:eastAsia="Aptos"/>
          <w:i/>
          <w:iCs/>
          <w:color w:val="0D0D0D" w:themeColor="text1" w:themeTint="F2"/>
          <w:lang w:val="vi-VN"/>
        </w:rPr>
      </w:pPr>
      <w:r w:rsidRPr="00AD5DCE">
        <w:rPr>
          <w:rFonts w:eastAsia="Aptos"/>
          <w:i/>
          <w:iCs/>
          <w:color w:val="0D0D0D" w:themeColor="text1" w:themeTint="F2"/>
        </w:rPr>
        <w:t>OR* adjusted for age and sex;</w:t>
      </w:r>
      <w:r w:rsidR="00556026" w:rsidRPr="00AD5DCE">
        <w:rPr>
          <w:rFonts w:eastAsia="Aptos"/>
          <w:i/>
          <w:iCs/>
          <w:color w:val="0D0D0D" w:themeColor="text1" w:themeTint="F2"/>
        </w:rPr>
        <w:t xml:space="preserve">; </w:t>
      </w:r>
      <w:r w:rsidR="00556026" w:rsidRPr="00AD5DCE">
        <w:rPr>
          <w:rFonts w:eastAsia="Aptos"/>
          <w:i/>
          <w:iCs/>
          <w:color w:val="0D0D0D" w:themeColor="text1" w:themeTint="F2"/>
          <w:vertAlign w:val="superscript"/>
        </w:rPr>
        <w:t>0</w:t>
      </w:r>
      <w:r w:rsidRPr="00AD5DCE">
        <w:rPr>
          <w:rFonts w:eastAsia="Aptos"/>
          <w:i/>
          <w:iCs/>
          <w:color w:val="0D0D0D" w:themeColor="text1" w:themeTint="F2"/>
        </w:rPr>
        <w:t>Reference</w:t>
      </w:r>
      <w:r w:rsidR="00556026" w:rsidRPr="00AD5DCE">
        <w:rPr>
          <w:rFonts w:eastAsia="Aptos"/>
          <w:i/>
          <w:iCs/>
          <w:color w:val="0D0D0D" w:themeColor="text1" w:themeTint="F2"/>
        </w:rPr>
        <w:t xml:space="preserve">; </w:t>
      </w:r>
      <w:r w:rsidRPr="00AD5DCE">
        <w:rPr>
          <w:rFonts w:eastAsia="Aptos"/>
          <w:i/>
          <w:iCs/>
          <w:color w:val="0D0D0D" w:themeColor="text1" w:themeTint="F2"/>
        </w:rPr>
        <w:t>chronic liver diseases</w:t>
      </w:r>
      <w:r w:rsidRPr="00AD5DCE">
        <w:rPr>
          <w:rFonts w:eastAsia="Aptos"/>
          <w:i/>
          <w:iCs/>
          <w:color w:val="0D0D0D" w:themeColor="text1" w:themeTint="F2"/>
          <w:lang w:val="vi-VN"/>
        </w:rPr>
        <w:t xml:space="preserve"> included LC and CHB.</w:t>
      </w:r>
    </w:p>
    <w:p w14:paraId="07DB31E8" w14:textId="71D7B6B7" w:rsidR="006771C0" w:rsidRPr="00AD5DCE" w:rsidRDefault="00556026" w:rsidP="00AD5DCE">
      <w:pPr>
        <w:spacing w:line="340" w:lineRule="exact"/>
        <w:ind w:firstLine="562"/>
        <w:rPr>
          <w:b/>
          <w:bCs/>
          <w:color w:val="0D0D0D" w:themeColor="text1" w:themeTint="F2"/>
        </w:rPr>
      </w:pPr>
      <w:r w:rsidRPr="00AD5DCE">
        <w:rPr>
          <w:color w:val="0D0D0D" w:themeColor="text1" w:themeTint="F2"/>
        </w:rPr>
        <w:tab/>
      </w:r>
      <w:bookmarkStart w:id="25" w:name="_Toc207715176"/>
      <w:bookmarkStart w:id="26" w:name="_Toc207715305"/>
      <w:bookmarkStart w:id="27" w:name="_Ref210993344"/>
      <w:r w:rsidR="006771C0" w:rsidRPr="00AD5DCE">
        <w:rPr>
          <w:color w:val="0D0D0D" w:themeColor="text1" w:themeTint="F2"/>
        </w:rPr>
        <w:t>HBV genotype C increased the risk of HCC by 2.5-fold compared with genotype B (OR=2.5; 95% CI: 1.0–5.8; p=0.039).</w:t>
      </w:r>
      <w:bookmarkEnd w:id="25"/>
      <w:bookmarkEnd w:id="26"/>
      <w:bookmarkEnd w:id="27"/>
    </w:p>
    <w:tbl>
      <w:tblPr>
        <w:tblStyle w:val="TableGrid4"/>
        <w:tblpPr w:leftFromText="180" w:rightFromText="180" w:vertAnchor="page" w:horzAnchor="margin" w:tblpY="7386"/>
        <w:tblW w:w="6238" w:type="dxa"/>
        <w:tblLayout w:type="fixed"/>
        <w:tblLook w:val="04A0" w:firstRow="1" w:lastRow="0" w:firstColumn="1" w:lastColumn="0" w:noHBand="0" w:noVBand="1"/>
      </w:tblPr>
      <w:tblGrid>
        <w:gridCol w:w="970"/>
        <w:gridCol w:w="976"/>
        <w:gridCol w:w="683"/>
        <w:gridCol w:w="1073"/>
        <w:gridCol w:w="683"/>
        <w:gridCol w:w="1073"/>
        <w:gridCol w:w="780"/>
      </w:tblGrid>
      <w:tr w:rsidR="00496AF8" w:rsidRPr="00AD5DCE" w14:paraId="7B4F1537" w14:textId="77777777" w:rsidTr="00496AF8">
        <w:trPr>
          <w:trHeight w:val="776"/>
        </w:trPr>
        <w:tc>
          <w:tcPr>
            <w:tcW w:w="970" w:type="dxa"/>
            <w:vMerge w:val="restart"/>
            <w:vAlign w:val="center"/>
          </w:tcPr>
          <w:p w14:paraId="1FF00313" w14:textId="77777777" w:rsidR="00496AF8" w:rsidRPr="00AD5DCE" w:rsidRDefault="00496AF8" w:rsidP="00496AF8">
            <w:pPr>
              <w:ind w:left="-110" w:right="-110" w:firstLine="0"/>
              <w:rPr>
                <w:rFonts w:eastAsia="Aptos"/>
                <w:b/>
                <w:bCs/>
                <w:color w:val="0D0D0D" w:themeColor="text1" w:themeTint="F2"/>
                <w:lang w:val="vi-VN"/>
              </w:rPr>
            </w:pPr>
            <w:r w:rsidRPr="00AD5DCE">
              <w:rPr>
                <w:rFonts w:eastAsia="Aptos"/>
                <w:b/>
                <w:bCs/>
                <w:color w:val="0D0D0D" w:themeColor="text1" w:themeTint="F2"/>
              </w:rPr>
              <w:t>HBV genotypes</w:t>
            </w:r>
          </w:p>
          <w:p w14:paraId="55B2C1B9" w14:textId="77777777" w:rsidR="00496AF8" w:rsidRPr="00AD5DCE" w:rsidRDefault="00496AF8" w:rsidP="00496AF8">
            <w:pPr>
              <w:ind w:left="-110" w:right="-110" w:firstLine="0"/>
              <w:rPr>
                <w:rFonts w:eastAsia="Aptos"/>
                <w:b/>
                <w:bCs/>
                <w:color w:val="0D0D0D" w:themeColor="text1" w:themeTint="F2"/>
              </w:rPr>
            </w:pPr>
            <w:r w:rsidRPr="00AD5DCE">
              <w:rPr>
                <w:rFonts w:eastAsia="Aptos"/>
                <w:b/>
                <w:bCs/>
                <w:color w:val="0D0D0D" w:themeColor="text1" w:themeTint="F2"/>
              </w:rPr>
              <w:t>(n=273)</w:t>
            </w:r>
          </w:p>
        </w:tc>
        <w:tc>
          <w:tcPr>
            <w:tcW w:w="1659" w:type="dxa"/>
            <w:gridSpan w:val="2"/>
            <w:vAlign w:val="center"/>
          </w:tcPr>
          <w:p w14:paraId="45BEBD88" w14:textId="77777777" w:rsidR="00496AF8" w:rsidRPr="00AD5DCE" w:rsidRDefault="00496AF8" w:rsidP="00496AF8">
            <w:pPr>
              <w:ind w:left="-110" w:right="-110" w:firstLine="0"/>
              <w:jc w:val="center"/>
              <w:rPr>
                <w:rFonts w:eastAsia="Aptos"/>
                <w:b/>
                <w:bCs/>
                <w:color w:val="0D0D0D" w:themeColor="text1" w:themeTint="F2"/>
              </w:rPr>
            </w:pPr>
            <w:r w:rsidRPr="00AD5DCE">
              <w:rPr>
                <w:rFonts w:eastAsia="Aptos"/>
                <w:b/>
                <w:bCs/>
                <w:color w:val="0D0D0D" w:themeColor="text1" w:themeTint="F2"/>
              </w:rPr>
              <w:t>HCC and</w:t>
            </w:r>
          </w:p>
          <w:p w14:paraId="4179F6C1" w14:textId="77777777" w:rsidR="00496AF8" w:rsidRPr="00AD5DCE" w:rsidRDefault="00496AF8" w:rsidP="00496AF8">
            <w:pPr>
              <w:ind w:left="-110" w:right="-110" w:firstLine="0"/>
              <w:jc w:val="center"/>
              <w:rPr>
                <w:rFonts w:eastAsia="Aptos"/>
                <w:b/>
                <w:bCs/>
                <w:color w:val="0D0D0D" w:themeColor="text1" w:themeTint="F2"/>
              </w:rPr>
            </w:pPr>
            <w:r w:rsidRPr="00AD5DCE">
              <w:rPr>
                <w:rFonts w:eastAsia="Aptos"/>
                <w:b/>
                <w:bCs/>
                <w:color w:val="0D0D0D" w:themeColor="text1" w:themeTint="F2"/>
              </w:rPr>
              <w:t>LC</w:t>
            </w:r>
            <w:r w:rsidRPr="00AD5DCE">
              <w:rPr>
                <w:rFonts w:eastAsia="Aptos"/>
                <w:b/>
                <w:bCs/>
                <w:color w:val="0D0D0D" w:themeColor="text1" w:themeTint="F2"/>
                <w:vertAlign w:val="superscript"/>
              </w:rPr>
              <w:t>0</w:t>
            </w:r>
            <w:r w:rsidRPr="00AD5DCE">
              <w:rPr>
                <w:rFonts w:eastAsia="Aptos"/>
                <w:b/>
                <w:bCs/>
                <w:color w:val="0D0D0D" w:themeColor="text1" w:themeTint="F2"/>
              </w:rPr>
              <w:t xml:space="preserve"> </w:t>
            </w:r>
          </w:p>
        </w:tc>
        <w:tc>
          <w:tcPr>
            <w:tcW w:w="1756" w:type="dxa"/>
            <w:gridSpan w:val="2"/>
            <w:vAlign w:val="center"/>
          </w:tcPr>
          <w:p w14:paraId="7EFC169D" w14:textId="77777777" w:rsidR="00496AF8" w:rsidRPr="00AD5DCE" w:rsidRDefault="00496AF8" w:rsidP="00496AF8">
            <w:pPr>
              <w:ind w:left="-110" w:right="-110" w:firstLine="0"/>
              <w:jc w:val="center"/>
              <w:rPr>
                <w:rFonts w:eastAsia="Aptos"/>
                <w:b/>
                <w:bCs/>
                <w:color w:val="0D0D0D" w:themeColor="text1" w:themeTint="F2"/>
              </w:rPr>
            </w:pPr>
            <w:r w:rsidRPr="00AD5DCE">
              <w:rPr>
                <w:rFonts w:eastAsia="Aptos"/>
                <w:b/>
                <w:bCs/>
                <w:color w:val="0D0D0D" w:themeColor="text1" w:themeTint="F2"/>
              </w:rPr>
              <w:t>HCC and</w:t>
            </w:r>
          </w:p>
          <w:p w14:paraId="27FC7056" w14:textId="77777777" w:rsidR="00496AF8" w:rsidRPr="00AD5DCE" w:rsidRDefault="00496AF8" w:rsidP="00496AF8">
            <w:pPr>
              <w:ind w:left="-110" w:right="-110" w:firstLine="0"/>
              <w:jc w:val="center"/>
              <w:rPr>
                <w:rFonts w:eastAsia="Aptos"/>
                <w:b/>
                <w:bCs/>
                <w:color w:val="0D0D0D" w:themeColor="text1" w:themeTint="F2"/>
              </w:rPr>
            </w:pPr>
            <w:r w:rsidRPr="00AD5DCE">
              <w:rPr>
                <w:rFonts w:eastAsia="Aptos"/>
                <w:b/>
                <w:bCs/>
                <w:color w:val="0D0D0D" w:themeColor="text1" w:themeTint="F2"/>
              </w:rPr>
              <w:t xml:space="preserve"> CHB</w:t>
            </w:r>
            <w:r w:rsidRPr="00AD5DCE">
              <w:rPr>
                <w:rFonts w:eastAsia="Aptos"/>
                <w:b/>
                <w:bCs/>
                <w:color w:val="0D0D0D" w:themeColor="text1" w:themeTint="F2"/>
                <w:vertAlign w:val="superscript"/>
              </w:rPr>
              <w:t xml:space="preserve">0 </w:t>
            </w:r>
          </w:p>
        </w:tc>
        <w:tc>
          <w:tcPr>
            <w:tcW w:w="1853" w:type="dxa"/>
            <w:gridSpan w:val="2"/>
          </w:tcPr>
          <w:p w14:paraId="1A6E4AEB" w14:textId="77777777" w:rsidR="00496AF8" w:rsidRPr="00AD5DCE" w:rsidRDefault="00496AF8" w:rsidP="00496AF8">
            <w:pPr>
              <w:ind w:left="-110" w:right="-110" w:firstLine="0"/>
              <w:jc w:val="center"/>
              <w:rPr>
                <w:rFonts w:eastAsia="Aptos"/>
                <w:b/>
                <w:bCs/>
                <w:color w:val="0D0D0D" w:themeColor="text1" w:themeTint="F2"/>
              </w:rPr>
            </w:pPr>
            <w:r w:rsidRPr="00AD5DCE">
              <w:rPr>
                <w:rFonts w:eastAsia="Aptos"/>
                <w:b/>
                <w:bCs/>
                <w:color w:val="0D0D0D" w:themeColor="text1" w:themeTint="F2"/>
              </w:rPr>
              <w:t>HCC</w:t>
            </w:r>
            <w:r w:rsidRPr="00AD5DCE">
              <w:rPr>
                <w:rFonts w:eastAsia="Aptos"/>
                <w:b/>
                <w:bCs/>
                <w:color w:val="0D0D0D" w:themeColor="text1" w:themeTint="F2"/>
                <w:lang w:val="vi-VN"/>
              </w:rPr>
              <w:t xml:space="preserve"> and</w:t>
            </w:r>
          </w:p>
          <w:p w14:paraId="143CCB47" w14:textId="77777777" w:rsidR="00496AF8" w:rsidRPr="00AD5DCE" w:rsidRDefault="00496AF8" w:rsidP="00496AF8">
            <w:pPr>
              <w:ind w:left="-110" w:right="-110" w:firstLine="0"/>
              <w:jc w:val="center"/>
              <w:rPr>
                <w:rFonts w:eastAsia="Aptos"/>
                <w:b/>
                <w:bCs/>
                <w:color w:val="0D0D0D" w:themeColor="text1" w:themeTint="F2"/>
              </w:rPr>
            </w:pPr>
            <w:r w:rsidRPr="00AD5DCE">
              <w:rPr>
                <w:rFonts w:eastAsia="Aptos"/>
                <w:b/>
                <w:bCs/>
                <w:color w:val="0D0D0D" w:themeColor="text1" w:themeTint="F2"/>
              </w:rPr>
              <w:t xml:space="preserve"> chronic liver diseases</w:t>
            </w:r>
            <w:r w:rsidRPr="00AD5DCE">
              <w:rPr>
                <w:rFonts w:eastAsia="Aptos"/>
                <w:b/>
                <w:bCs/>
                <w:color w:val="0D0D0D" w:themeColor="text1" w:themeTint="F2"/>
                <w:vertAlign w:val="superscript"/>
              </w:rPr>
              <w:t xml:space="preserve"> 0</w:t>
            </w:r>
          </w:p>
        </w:tc>
      </w:tr>
      <w:tr w:rsidR="00496AF8" w:rsidRPr="00AD5DCE" w14:paraId="363C01E2" w14:textId="77777777" w:rsidTr="00496AF8">
        <w:trPr>
          <w:trHeight w:val="668"/>
        </w:trPr>
        <w:tc>
          <w:tcPr>
            <w:tcW w:w="970" w:type="dxa"/>
            <w:vMerge/>
            <w:vAlign w:val="center"/>
          </w:tcPr>
          <w:p w14:paraId="23EDE88D" w14:textId="77777777" w:rsidR="00496AF8" w:rsidRPr="00AD5DCE" w:rsidRDefault="00496AF8" w:rsidP="00496AF8">
            <w:pPr>
              <w:ind w:left="-110" w:right="-110"/>
              <w:jc w:val="center"/>
              <w:rPr>
                <w:rFonts w:eastAsia="Aptos"/>
                <w:b/>
                <w:bCs/>
                <w:color w:val="0D0D0D" w:themeColor="text1" w:themeTint="F2"/>
              </w:rPr>
            </w:pPr>
          </w:p>
        </w:tc>
        <w:tc>
          <w:tcPr>
            <w:tcW w:w="976" w:type="dxa"/>
            <w:vAlign w:val="center"/>
          </w:tcPr>
          <w:p w14:paraId="78FF2F94"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OR</w:t>
            </w:r>
            <w:r w:rsidRPr="00AD5DCE">
              <w:rPr>
                <w:rFonts w:eastAsia="Aptos"/>
                <w:color w:val="0D0D0D" w:themeColor="text1" w:themeTint="F2"/>
                <w:vertAlign w:val="superscript"/>
              </w:rPr>
              <w:t>*</w:t>
            </w:r>
          </w:p>
          <w:p w14:paraId="70D1301B"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(95% CI)</w:t>
            </w:r>
          </w:p>
        </w:tc>
        <w:tc>
          <w:tcPr>
            <w:tcW w:w="683" w:type="dxa"/>
            <w:vAlign w:val="center"/>
          </w:tcPr>
          <w:p w14:paraId="242F7904" w14:textId="77777777" w:rsidR="00496AF8" w:rsidRPr="00AD5DCE" w:rsidRDefault="00496AF8" w:rsidP="00496AF8">
            <w:pPr>
              <w:ind w:left="-110" w:right="-110" w:firstLine="0"/>
              <w:jc w:val="center"/>
              <w:rPr>
                <w:rFonts w:eastAsia="Aptos"/>
                <w:color w:val="0D0D0D" w:themeColor="text1" w:themeTint="F2"/>
              </w:rPr>
            </w:pPr>
            <w:r w:rsidRPr="00AD5DCE">
              <w:rPr>
                <w:rFonts w:eastAsia="Aptos"/>
                <w:i/>
                <w:iCs/>
                <w:color w:val="0D0D0D" w:themeColor="text1" w:themeTint="F2"/>
              </w:rPr>
              <w:t>p</w:t>
            </w:r>
          </w:p>
        </w:tc>
        <w:tc>
          <w:tcPr>
            <w:tcW w:w="1073" w:type="dxa"/>
            <w:vAlign w:val="center"/>
          </w:tcPr>
          <w:p w14:paraId="4C425602" w14:textId="77777777" w:rsidR="00496AF8" w:rsidRPr="00AD5DCE" w:rsidRDefault="00496AF8" w:rsidP="00496AF8">
            <w:pPr>
              <w:ind w:left="-110" w:right="-110" w:firstLine="0"/>
              <w:jc w:val="center"/>
              <w:rPr>
                <w:rFonts w:eastAsia="Aptos"/>
                <w:color w:val="0D0D0D" w:themeColor="text1" w:themeTint="F2"/>
              </w:rPr>
            </w:pPr>
            <w:bookmarkStart w:id="28" w:name="_Hlk207230893"/>
            <w:r w:rsidRPr="00AD5DCE">
              <w:rPr>
                <w:rFonts w:eastAsia="Aptos"/>
                <w:color w:val="0D0D0D" w:themeColor="text1" w:themeTint="F2"/>
              </w:rPr>
              <w:t>OR*</w:t>
            </w:r>
          </w:p>
          <w:bookmarkEnd w:id="28"/>
          <w:p w14:paraId="27EA767A"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(95% CI)</w:t>
            </w:r>
          </w:p>
        </w:tc>
        <w:tc>
          <w:tcPr>
            <w:tcW w:w="683" w:type="dxa"/>
            <w:vAlign w:val="center"/>
          </w:tcPr>
          <w:p w14:paraId="68CFE170" w14:textId="77777777" w:rsidR="00496AF8" w:rsidRPr="00AD5DCE" w:rsidRDefault="00496AF8" w:rsidP="00496AF8">
            <w:pPr>
              <w:ind w:left="-110" w:right="-110" w:firstLine="0"/>
              <w:jc w:val="center"/>
              <w:rPr>
                <w:rFonts w:eastAsia="Aptos"/>
                <w:color w:val="0D0D0D" w:themeColor="text1" w:themeTint="F2"/>
              </w:rPr>
            </w:pPr>
            <w:r w:rsidRPr="00AD5DCE">
              <w:rPr>
                <w:rFonts w:eastAsia="Aptos"/>
                <w:i/>
                <w:iCs/>
                <w:color w:val="0D0D0D" w:themeColor="text1" w:themeTint="F2"/>
              </w:rPr>
              <w:t>p</w:t>
            </w:r>
          </w:p>
        </w:tc>
        <w:tc>
          <w:tcPr>
            <w:tcW w:w="1073" w:type="dxa"/>
            <w:vAlign w:val="center"/>
          </w:tcPr>
          <w:p w14:paraId="0A086B98"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OR*</w:t>
            </w:r>
          </w:p>
          <w:p w14:paraId="00145AE6" w14:textId="77777777" w:rsidR="00496AF8" w:rsidRPr="00AD5DCE" w:rsidRDefault="00496AF8" w:rsidP="00496AF8">
            <w:pPr>
              <w:ind w:left="-110" w:right="-110" w:firstLine="0"/>
              <w:jc w:val="center"/>
              <w:rPr>
                <w:rFonts w:eastAsia="Aptos"/>
                <w:i/>
                <w:iCs/>
                <w:color w:val="0D0D0D" w:themeColor="text1" w:themeTint="F2"/>
              </w:rPr>
            </w:pPr>
            <w:r w:rsidRPr="00AD5DCE">
              <w:rPr>
                <w:rFonts w:eastAsia="Aptos"/>
                <w:color w:val="0D0D0D" w:themeColor="text1" w:themeTint="F2"/>
              </w:rPr>
              <w:t>(95% CI)</w:t>
            </w:r>
          </w:p>
        </w:tc>
        <w:tc>
          <w:tcPr>
            <w:tcW w:w="780" w:type="dxa"/>
            <w:vAlign w:val="center"/>
          </w:tcPr>
          <w:p w14:paraId="27EFD145" w14:textId="77777777" w:rsidR="00496AF8" w:rsidRPr="00AD5DCE" w:rsidRDefault="00496AF8" w:rsidP="00496AF8">
            <w:pPr>
              <w:ind w:left="-110" w:right="-110" w:firstLine="0"/>
              <w:jc w:val="center"/>
              <w:rPr>
                <w:rFonts w:eastAsia="Aptos"/>
                <w:i/>
                <w:iCs/>
                <w:color w:val="0D0D0D" w:themeColor="text1" w:themeTint="F2"/>
              </w:rPr>
            </w:pPr>
            <w:r w:rsidRPr="00AD5DCE">
              <w:rPr>
                <w:rFonts w:eastAsia="Aptos"/>
                <w:i/>
                <w:iCs/>
                <w:color w:val="0D0D0D" w:themeColor="text1" w:themeTint="F2"/>
              </w:rPr>
              <w:t>p</w:t>
            </w:r>
          </w:p>
        </w:tc>
      </w:tr>
      <w:tr w:rsidR="00496AF8" w:rsidRPr="00AD5DCE" w14:paraId="73B8987E" w14:textId="77777777" w:rsidTr="00496AF8">
        <w:trPr>
          <w:trHeight w:val="463"/>
        </w:trPr>
        <w:tc>
          <w:tcPr>
            <w:tcW w:w="970" w:type="dxa"/>
            <w:vAlign w:val="center"/>
          </w:tcPr>
          <w:p w14:paraId="37211CF5" w14:textId="77777777" w:rsidR="00496AF8" w:rsidRPr="00AD5DCE" w:rsidRDefault="00496AF8" w:rsidP="00496AF8">
            <w:pPr>
              <w:ind w:left="-110" w:right="-110" w:hanging="20"/>
              <w:jc w:val="center"/>
              <w:rPr>
                <w:rFonts w:eastAsia="Aptos"/>
                <w:color w:val="0D0D0D" w:themeColor="text1" w:themeTint="F2"/>
              </w:rPr>
            </w:pPr>
            <w:r w:rsidRPr="00AD5DCE">
              <w:rPr>
                <w:rFonts w:eastAsia="Aptos"/>
                <w:color w:val="0D0D0D" w:themeColor="text1" w:themeTint="F2"/>
              </w:rPr>
              <w:t>C</w:t>
            </w:r>
          </w:p>
        </w:tc>
        <w:tc>
          <w:tcPr>
            <w:tcW w:w="976" w:type="dxa"/>
            <w:vAlign w:val="center"/>
          </w:tcPr>
          <w:p w14:paraId="0C60C563"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0.85</w:t>
            </w:r>
          </w:p>
          <w:p w14:paraId="77812D65"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(0.4-1.7)</w:t>
            </w:r>
          </w:p>
        </w:tc>
        <w:tc>
          <w:tcPr>
            <w:tcW w:w="683" w:type="dxa"/>
            <w:vAlign w:val="center"/>
          </w:tcPr>
          <w:p w14:paraId="31B77201"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0.634</w:t>
            </w:r>
          </w:p>
        </w:tc>
        <w:tc>
          <w:tcPr>
            <w:tcW w:w="1073" w:type="dxa"/>
            <w:vAlign w:val="center"/>
          </w:tcPr>
          <w:p w14:paraId="659D6302"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2.5</w:t>
            </w:r>
          </w:p>
          <w:p w14:paraId="61EC2AFA"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(1.0-5.8)</w:t>
            </w:r>
          </w:p>
        </w:tc>
        <w:tc>
          <w:tcPr>
            <w:tcW w:w="683" w:type="dxa"/>
            <w:vAlign w:val="center"/>
          </w:tcPr>
          <w:p w14:paraId="3C399E33" w14:textId="77777777" w:rsidR="00496AF8" w:rsidRPr="00AD5DCE" w:rsidRDefault="00496AF8" w:rsidP="00496AF8">
            <w:pPr>
              <w:ind w:left="-110" w:right="-110" w:firstLine="0"/>
              <w:jc w:val="center"/>
              <w:rPr>
                <w:rFonts w:eastAsia="Aptos"/>
                <w:b/>
                <w:bCs/>
                <w:color w:val="0D0D0D" w:themeColor="text1" w:themeTint="F2"/>
              </w:rPr>
            </w:pPr>
            <w:r w:rsidRPr="00AD5DCE">
              <w:rPr>
                <w:rFonts w:eastAsia="Aptos"/>
                <w:b/>
                <w:bCs/>
                <w:color w:val="0D0D0D" w:themeColor="text1" w:themeTint="F2"/>
              </w:rPr>
              <w:t>0.039</w:t>
            </w:r>
          </w:p>
        </w:tc>
        <w:tc>
          <w:tcPr>
            <w:tcW w:w="1073" w:type="dxa"/>
            <w:vAlign w:val="center"/>
          </w:tcPr>
          <w:p w14:paraId="0976DB27" w14:textId="77777777" w:rsidR="00496AF8" w:rsidRPr="00AD5DCE" w:rsidRDefault="00496AF8" w:rsidP="00496AF8">
            <w:pPr>
              <w:ind w:left="-110" w:right="-110" w:firstLine="0"/>
              <w:jc w:val="center"/>
              <w:rPr>
                <w:color w:val="0D0D0D" w:themeColor="text1" w:themeTint="F2"/>
              </w:rPr>
            </w:pPr>
            <w:r w:rsidRPr="00AD5DCE">
              <w:rPr>
                <w:color w:val="0D0D0D" w:themeColor="text1" w:themeTint="F2"/>
              </w:rPr>
              <w:t>1.3</w:t>
            </w:r>
          </w:p>
          <w:p w14:paraId="2FC22BBB" w14:textId="77777777" w:rsidR="00496AF8" w:rsidRPr="00AD5DCE" w:rsidRDefault="00496AF8" w:rsidP="00496AF8">
            <w:pPr>
              <w:ind w:left="-110" w:right="-110" w:firstLine="0"/>
              <w:jc w:val="center"/>
              <w:rPr>
                <w:rFonts w:eastAsia="Aptos"/>
                <w:b/>
                <w:bCs/>
                <w:color w:val="0D0D0D" w:themeColor="text1" w:themeTint="F2"/>
              </w:rPr>
            </w:pPr>
            <w:r w:rsidRPr="00AD5DCE">
              <w:rPr>
                <w:color w:val="0D0D0D" w:themeColor="text1" w:themeTint="F2"/>
              </w:rPr>
              <w:t>(0.7-2.4)</w:t>
            </w:r>
          </w:p>
        </w:tc>
        <w:tc>
          <w:tcPr>
            <w:tcW w:w="780" w:type="dxa"/>
            <w:vAlign w:val="center"/>
          </w:tcPr>
          <w:p w14:paraId="47146020" w14:textId="77777777" w:rsidR="00496AF8" w:rsidRPr="00AD5DCE" w:rsidRDefault="00496AF8" w:rsidP="00496AF8">
            <w:pPr>
              <w:ind w:left="-110" w:right="-110" w:firstLine="0"/>
              <w:jc w:val="center"/>
              <w:rPr>
                <w:rFonts w:eastAsia="Aptos"/>
                <w:b/>
                <w:bCs/>
                <w:color w:val="0D0D0D" w:themeColor="text1" w:themeTint="F2"/>
              </w:rPr>
            </w:pPr>
            <w:r w:rsidRPr="00AD5DCE">
              <w:rPr>
                <w:color w:val="0D0D0D" w:themeColor="text1" w:themeTint="F2"/>
              </w:rPr>
              <w:t>0.427</w:t>
            </w:r>
          </w:p>
        </w:tc>
      </w:tr>
      <w:tr w:rsidR="00496AF8" w:rsidRPr="00AD5DCE" w14:paraId="3D4AB123" w14:textId="77777777" w:rsidTr="00496AF8">
        <w:trPr>
          <w:trHeight w:val="430"/>
        </w:trPr>
        <w:tc>
          <w:tcPr>
            <w:tcW w:w="970" w:type="dxa"/>
            <w:tcBorders>
              <w:bottom w:val="single" w:sz="4" w:space="0" w:color="auto"/>
            </w:tcBorders>
            <w:vAlign w:val="center"/>
          </w:tcPr>
          <w:p w14:paraId="0BBF170F" w14:textId="77777777" w:rsidR="00496AF8" w:rsidRPr="00AD5DCE" w:rsidRDefault="00496AF8" w:rsidP="00496AF8">
            <w:pPr>
              <w:ind w:left="-110" w:right="-110" w:hanging="20"/>
              <w:jc w:val="center"/>
              <w:rPr>
                <w:rFonts w:eastAsia="Aptos"/>
                <w:color w:val="0D0D0D" w:themeColor="text1" w:themeTint="F2"/>
              </w:rPr>
            </w:pPr>
            <w:r w:rsidRPr="00AD5DCE">
              <w:rPr>
                <w:rFonts w:eastAsia="Aptos"/>
                <w:color w:val="0D0D0D" w:themeColor="text1" w:themeTint="F2"/>
              </w:rPr>
              <w:t>D and I</w:t>
            </w:r>
          </w:p>
        </w:tc>
        <w:tc>
          <w:tcPr>
            <w:tcW w:w="976" w:type="dxa"/>
            <w:tcBorders>
              <w:bottom w:val="single" w:sz="4" w:space="0" w:color="auto"/>
            </w:tcBorders>
            <w:vAlign w:val="center"/>
          </w:tcPr>
          <w:p w14:paraId="3CE44289"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1.9</w:t>
            </w:r>
          </w:p>
          <w:p w14:paraId="1BD9626E"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(0.2-23.4)</w:t>
            </w:r>
          </w:p>
        </w:tc>
        <w:tc>
          <w:tcPr>
            <w:tcW w:w="683" w:type="dxa"/>
            <w:tcBorders>
              <w:bottom w:val="single" w:sz="4" w:space="0" w:color="auto"/>
            </w:tcBorders>
            <w:vAlign w:val="center"/>
          </w:tcPr>
          <w:p w14:paraId="7DA1D592"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0.630</w:t>
            </w:r>
          </w:p>
        </w:tc>
        <w:tc>
          <w:tcPr>
            <w:tcW w:w="1073" w:type="dxa"/>
            <w:tcBorders>
              <w:bottom w:val="single" w:sz="4" w:space="0" w:color="auto"/>
            </w:tcBorders>
            <w:vAlign w:val="center"/>
          </w:tcPr>
          <w:p w14:paraId="448B4A69"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16.5</w:t>
            </w:r>
          </w:p>
          <w:p w14:paraId="2EB2681A"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(0.8-325.1)</w:t>
            </w:r>
          </w:p>
        </w:tc>
        <w:tc>
          <w:tcPr>
            <w:tcW w:w="683" w:type="dxa"/>
            <w:tcBorders>
              <w:bottom w:val="single" w:sz="4" w:space="0" w:color="auto"/>
            </w:tcBorders>
            <w:vAlign w:val="center"/>
          </w:tcPr>
          <w:p w14:paraId="0D506BA4" w14:textId="77777777" w:rsidR="00496AF8" w:rsidRPr="00AD5DCE" w:rsidRDefault="00496AF8" w:rsidP="00496AF8">
            <w:pPr>
              <w:ind w:left="-110" w:right="-110" w:firstLine="0"/>
              <w:jc w:val="center"/>
              <w:rPr>
                <w:rFonts w:eastAsia="Aptos"/>
                <w:color w:val="0D0D0D" w:themeColor="text1" w:themeTint="F2"/>
              </w:rPr>
            </w:pPr>
            <w:r w:rsidRPr="00AD5DCE">
              <w:rPr>
                <w:rFonts w:eastAsia="Aptos"/>
                <w:color w:val="0D0D0D" w:themeColor="text1" w:themeTint="F2"/>
              </w:rPr>
              <w:t>0.065</w:t>
            </w:r>
          </w:p>
        </w:tc>
        <w:tc>
          <w:tcPr>
            <w:tcW w:w="1073" w:type="dxa"/>
            <w:tcBorders>
              <w:bottom w:val="single" w:sz="4" w:space="0" w:color="auto"/>
            </w:tcBorders>
            <w:vAlign w:val="center"/>
          </w:tcPr>
          <w:p w14:paraId="613E1CE9" w14:textId="77777777" w:rsidR="00496AF8" w:rsidRPr="00AD5DCE" w:rsidRDefault="00496AF8" w:rsidP="00496AF8">
            <w:pPr>
              <w:ind w:left="-110" w:right="-110" w:firstLine="0"/>
              <w:jc w:val="center"/>
              <w:rPr>
                <w:color w:val="0D0D0D" w:themeColor="text1" w:themeTint="F2"/>
              </w:rPr>
            </w:pPr>
            <w:r w:rsidRPr="00AD5DCE">
              <w:rPr>
                <w:color w:val="0D0D0D" w:themeColor="text1" w:themeTint="F2"/>
              </w:rPr>
              <w:t>3.5</w:t>
            </w:r>
          </w:p>
          <w:p w14:paraId="26E8088A" w14:textId="77777777" w:rsidR="00496AF8" w:rsidRPr="00AD5DCE" w:rsidRDefault="00496AF8" w:rsidP="00496AF8">
            <w:pPr>
              <w:ind w:left="-110" w:right="-110" w:firstLine="0"/>
              <w:jc w:val="center"/>
              <w:rPr>
                <w:rFonts w:eastAsia="Aptos"/>
                <w:color w:val="0D0D0D" w:themeColor="text1" w:themeTint="F2"/>
              </w:rPr>
            </w:pPr>
            <w:r w:rsidRPr="00AD5DCE">
              <w:rPr>
                <w:color w:val="0D0D0D" w:themeColor="text1" w:themeTint="F2"/>
              </w:rPr>
              <w:t>(0.3-37.2)</w:t>
            </w:r>
          </w:p>
        </w:tc>
        <w:tc>
          <w:tcPr>
            <w:tcW w:w="780" w:type="dxa"/>
            <w:tcBorders>
              <w:bottom w:val="single" w:sz="4" w:space="0" w:color="auto"/>
            </w:tcBorders>
            <w:vAlign w:val="center"/>
          </w:tcPr>
          <w:p w14:paraId="2E9C4D35" w14:textId="77777777" w:rsidR="00496AF8" w:rsidRPr="00AD5DCE" w:rsidRDefault="00496AF8" w:rsidP="00496AF8">
            <w:pPr>
              <w:ind w:left="-110" w:right="-110" w:firstLine="0"/>
              <w:jc w:val="center"/>
              <w:rPr>
                <w:rFonts w:eastAsia="Aptos"/>
                <w:color w:val="0D0D0D" w:themeColor="text1" w:themeTint="F2"/>
              </w:rPr>
            </w:pPr>
            <w:r w:rsidRPr="00AD5DCE">
              <w:rPr>
                <w:color w:val="0D0D0D" w:themeColor="text1" w:themeTint="F2"/>
              </w:rPr>
              <w:t>0.308</w:t>
            </w:r>
          </w:p>
        </w:tc>
      </w:tr>
      <w:tr w:rsidR="00496AF8" w:rsidRPr="00AD5DCE" w14:paraId="56D7DFD7" w14:textId="77777777" w:rsidTr="00496AF8">
        <w:trPr>
          <w:trHeight w:val="430"/>
        </w:trPr>
        <w:tc>
          <w:tcPr>
            <w:tcW w:w="970" w:type="dxa"/>
            <w:tcBorders>
              <w:bottom w:val="single" w:sz="4" w:space="0" w:color="auto"/>
            </w:tcBorders>
            <w:vAlign w:val="center"/>
          </w:tcPr>
          <w:p w14:paraId="757A5F1B" w14:textId="77777777" w:rsidR="00496AF8" w:rsidRPr="00AD5DCE" w:rsidRDefault="00496AF8" w:rsidP="00496AF8">
            <w:pPr>
              <w:ind w:left="-110" w:right="-110" w:hanging="20"/>
              <w:jc w:val="center"/>
              <w:rPr>
                <w:rFonts w:eastAsia="Aptos"/>
                <w:color w:val="0D0D0D" w:themeColor="text1" w:themeTint="F2"/>
              </w:rPr>
            </w:pPr>
            <w:r w:rsidRPr="00AD5DCE">
              <w:rPr>
                <w:rFonts w:eastAsia="Aptos"/>
                <w:color w:val="0D0D0D" w:themeColor="text1" w:themeTint="F2"/>
              </w:rPr>
              <w:t>B</w:t>
            </w:r>
            <w:r w:rsidRPr="00AD5DCE">
              <w:rPr>
                <w:rFonts w:eastAsia="Aptos"/>
                <w:color w:val="0D0D0D" w:themeColor="text1" w:themeTint="F2"/>
                <w:vertAlign w:val="superscript"/>
              </w:rPr>
              <w:t>0</w:t>
            </w:r>
          </w:p>
        </w:tc>
        <w:tc>
          <w:tcPr>
            <w:tcW w:w="1659" w:type="dxa"/>
            <w:gridSpan w:val="2"/>
            <w:tcBorders>
              <w:bottom w:val="single" w:sz="4" w:space="0" w:color="auto"/>
            </w:tcBorders>
          </w:tcPr>
          <w:p w14:paraId="729F9561" w14:textId="77777777" w:rsidR="00496AF8" w:rsidRPr="00AD5DCE" w:rsidRDefault="00496AF8" w:rsidP="00496AF8">
            <w:pPr>
              <w:ind w:left="-110" w:right="-110" w:firstLine="0"/>
              <w:jc w:val="center"/>
              <w:rPr>
                <w:rFonts w:eastAsia="Aptos"/>
                <w:color w:val="0D0D0D" w:themeColor="text1" w:themeTint="F2"/>
              </w:rPr>
            </w:pPr>
            <w:r w:rsidRPr="00AD5DCE">
              <w:t>Reference</w:t>
            </w:r>
          </w:p>
        </w:tc>
        <w:tc>
          <w:tcPr>
            <w:tcW w:w="1756" w:type="dxa"/>
            <w:gridSpan w:val="2"/>
            <w:tcBorders>
              <w:bottom w:val="single" w:sz="4" w:space="0" w:color="auto"/>
            </w:tcBorders>
          </w:tcPr>
          <w:p w14:paraId="6F328CC4" w14:textId="77777777" w:rsidR="00496AF8" w:rsidRPr="00AD5DCE" w:rsidRDefault="00496AF8" w:rsidP="00496AF8">
            <w:pPr>
              <w:ind w:left="-110" w:right="-110" w:firstLine="0"/>
              <w:jc w:val="center"/>
              <w:rPr>
                <w:rFonts w:eastAsia="Aptos"/>
                <w:color w:val="0D0D0D" w:themeColor="text1" w:themeTint="F2"/>
              </w:rPr>
            </w:pPr>
            <w:r w:rsidRPr="00AD5DCE">
              <w:t>Reference</w:t>
            </w:r>
          </w:p>
        </w:tc>
        <w:tc>
          <w:tcPr>
            <w:tcW w:w="1853" w:type="dxa"/>
            <w:gridSpan w:val="2"/>
            <w:tcBorders>
              <w:bottom w:val="single" w:sz="4" w:space="0" w:color="auto"/>
            </w:tcBorders>
          </w:tcPr>
          <w:p w14:paraId="014F3604" w14:textId="77777777" w:rsidR="00496AF8" w:rsidRPr="00AD5DCE" w:rsidRDefault="00496AF8" w:rsidP="00496AF8">
            <w:pPr>
              <w:ind w:left="-110" w:right="-110" w:firstLine="0"/>
              <w:jc w:val="center"/>
              <w:rPr>
                <w:rFonts w:eastAsia="Aptos"/>
                <w:color w:val="0D0D0D" w:themeColor="text1" w:themeTint="F2"/>
              </w:rPr>
            </w:pPr>
            <w:r w:rsidRPr="00AD5DCE">
              <w:t>Reference</w:t>
            </w:r>
          </w:p>
        </w:tc>
      </w:tr>
    </w:tbl>
    <w:p w14:paraId="48BEF1DF" w14:textId="0A44B726" w:rsidR="00556026" w:rsidRPr="00AD5DCE" w:rsidRDefault="006771C0" w:rsidP="006771C0">
      <w:pPr>
        <w:rPr>
          <w:b/>
          <w:bCs/>
          <w:color w:val="0D0D0D" w:themeColor="text1" w:themeTint="F2"/>
        </w:rPr>
      </w:pPr>
      <w:r w:rsidRPr="00AD5DCE">
        <w:rPr>
          <w:b/>
          <w:bCs/>
          <w:color w:val="0D0D0D" w:themeColor="text1" w:themeTint="F2"/>
        </w:rPr>
        <w:t xml:space="preserve">Table 3.7. Association </w:t>
      </w:r>
      <w:r w:rsidR="00EF225C" w:rsidRPr="00AD5DCE">
        <w:rPr>
          <w:b/>
          <w:bCs/>
          <w:color w:val="0D0D0D" w:themeColor="text1" w:themeTint="F2"/>
        </w:rPr>
        <w:t>between</w:t>
      </w:r>
      <w:r w:rsidRPr="00AD5DCE">
        <w:rPr>
          <w:b/>
          <w:bCs/>
          <w:color w:val="0D0D0D" w:themeColor="text1" w:themeTint="F2"/>
        </w:rPr>
        <w:t xml:space="preserve"> </w:t>
      </w:r>
      <w:r w:rsidR="00EF225C">
        <w:rPr>
          <w:b/>
          <w:bCs/>
          <w:i/>
          <w:iCs/>
          <w:color w:val="0D0D0D" w:themeColor="text1" w:themeTint="F2"/>
        </w:rPr>
        <w:t>preS</w:t>
      </w:r>
      <w:r w:rsidR="005B5D37" w:rsidRPr="005B5D37">
        <w:rPr>
          <w:b/>
          <w:bCs/>
          <w:i/>
          <w:iCs/>
          <w:color w:val="0D0D0D" w:themeColor="text1" w:themeTint="F2"/>
        </w:rPr>
        <w:t>/S</w:t>
      </w:r>
      <w:r w:rsidRPr="00AD5DCE">
        <w:rPr>
          <w:b/>
          <w:bCs/>
          <w:color w:val="0D0D0D" w:themeColor="text1" w:themeTint="F2"/>
        </w:rPr>
        <w:t xml:space="preserve"> </w:t>
      </w:r>
      <w:r w:rsidR="00EF225C" w:rsidRPr="00AD5DCE">
        <w:rPr>
          <w:b/>
          <w:bCs/>
          <w:color w:val="0D0D0D" w:themeColor="text1" w:themeTint="F2"/>
        </w:rPr>
        <w:t xml:space="preserve">mutations and </w:t>
      </w:r>
      <w:r w:rsidRPr="00AD5DCE">
        <w:rPr>
          <w:b/>
          <w:bCs/>
          <w:color w:val="0D0D0D" w:themeColor="text1" w:themeTint="F2"/>
        </w:rPr>
        <w:t>HCC</w:t>
      </w:r>
    </w:p>
    <w:p w14:paraId="647B83AD" w14:textId="19D1D993" w:rsidR="006771C0" w:rsidRPr="00AD5DCE" w:rsidRDefault="006771C0" w:rsidP="00AD5DCE">
      <w:pPr>
        <w:spacing w:line="340" w:lineRule="exact"/>
        <w:ind w:firstLine="562"/>
        <w:rPr>
          <w:i/>
          <w:iCs/>
          <w:lang w:val="vi-VN"/>
        </w:rPr>
      </w:pPr>
      <w:r w:rsidRPr="00AD5DCE">
        <w:rPr>
          <w:i/>
          <w:iCs/>
        </w:rPr>
        <w:t>OR* adjusted for age and sex;</w:t>
      </w:r>
      <w:r w:rsidRPr="00AD5DCE">
        <w:rPr>
          <w:i/>
          <w:iCs/>
          <w:lang w:val="vi-VN"/>
        </w:rPr>
        <w:t xml:space="preserve"> </w:t>
      </w:r>
      <w:r w:rsidRPr="00AD5DCE">
        <w:rPr>
          <w:rFonts w:eastAsia="Times New Roman"/>
          <w:bCs/>
          <w:i/>
          <w:iCs/>
        </w:rPr>
        <w:t>No</w:t>
      </w:r>
      <w:r w:rsidRPr="00AD5DCE">
        <w:rPr>
          <w:rFonts w:eastAsia="Times New Roman"/>
          <w:bCs/>
          <w:i/>
          <w:iCs/>
          <w:lang w:val="vi-VN"/>
        </w:rPr>
        <w:t xml:space="preserve"> HCC </w:t>
      </w:r>
      <w:r w:rsidRPr="00AD5DCE">
        <w:rPr>
          <w:i/>
          <w:iCs/>
          <w:lang w:val="vi-VN"/>
        </w:rPr>
        <w:t>included LC and CHB</w:t>
      </w:r>
    </w:p>
    <w:p w14:paraId="42308A1D" w14:textId="0B747910" w:rsidR="00556026" w:rsidRPr="00AD5DCE" w:rsidRDefault="006771C0" w:rsidP="00AD5DCE">
      <w:pPr>
        <w:spacing w:line="340" w:lineRule="exact"/>
        <w:ind w:firstLine="562"/>
        <w:rPr>
          <w:lang w:val="vi-VN"/>
        </w:rPr>
      </w:pPr>
      <w:bookmarkStart w:id="29" w:name="_Toc207715177"/>
      <w:bookmarkStart w:id="30" w:name="_Toc207715306"/>
      <w:bookmarkStart w:id="31" w:name="_Ref210993349"/>
      <w:r w:rsidRPr="00AD5DCE">
        <w:lastRenderedPageBreak/>
        <w:t>Among HBsAg-positive chronic liver disease patients, infection with HBV genotype B carrying N51M/Y/P/T/D/S/K/Q mutations was associated with a 5-fold higher risk of HCC (95% CI: 1.2–20.8) compared with those without mutations.</w:t>
      </w:r>
    </w:p>
    <w:bookmarkEnd w:id="29"/>
    <w:bookmarkEnd w:id="30"/>
    <w:bookmarkEnd w:id="31"/>
    <w:p w14:paraId="1AF3E828" w14:textId="6B9DFFE1" w:rsidR="006771C0" w:rsidRPr="00AD5DCE" w:rsidRDefault="006771C0" w:rsidP="00AD5DCE">
      <w:pPr>
        <w:spacing w:line="340" w:lineRule="exact"/>
        <w:ind w:firstLine="562"/>
        <w:rPr>
          <w:b/>
          <w:bCs/>
          <w:color w:val="0D0D0D" w:themeColor="text1" w:themeTint="F2"/>
          <w:lang w:val="vi-VN"/>
        </w:rPr>
      </w:pPr>
      <w:r w:rsidRPr="00AD5DCE">
        <w:rPr>
          <w:b/>
          <w:bCs/>
          <w:color w:val="0D0D0D" w:themeColor="text1" w:themeTint="F2"/>
        </w:rPr>
        <w:t xml:space="preserve">Table 3.8. Association Between the </w:t>
      </w:r>
      <w:r w:rsidR="005B5D37">
        <w:rPr>
          <w:b/>
          <w:bCs/>
          <w:color w:val="0D0D0D" w:themeColor="text1" w:themeTint="F2"/>
        </w:rPr>
        <w:t>NTCP S267F variant</w:t>
      </w:r>
      <w:r w:rsidRPr="00AD5DCE">
        <w:rPr>
          <w:b/>
          <w:bCs/>
          <w:color w:val="0D0D0D" w:themeColor="text1" w:themeTint="F2"/>
        </w:rPr>
        <w:t xml:space="preserve"> and Chronic Liver Disease vs. Controls</w:t>
      </w:r>
    </w:p>
    <w:tbl>
      <w:tblPr>
        <w:tblpPr w:leftFromText="180" w:rightFromText="180" w:vertAnchor="page" w:horzAnchor="margin" w:tblpY="3230"/>
        <w:tblOverlap w:val="never"/>
        <w:tblW w:w="62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09"/>
        <w:gridCol w:w="1296"/>
        <w:gridCol w:w="1350"/>
        <w:gridCol w:w="1260"/>
        <w:gridCol w:w="990"/>
      </w:tblGrid>
      <w:tr w:rsidR="00496AF8" w:rsidRPr="00AD5DCE" w14:paraId="75C72E86" w14:textId="77777777" w:rsidTr="00496AF8">
        <w:trPr>
          <w:trHeight w:val="395"/>
        </w:trPr>
        <w:tc>
          <w:tcPr>
            <w:tcW w:w="1309" w:type="dxa"/>
            <w:vMerge w:val="restart"/>
            <w:tcBorders>
              <w:right w:val="single" w:sz="4" w:space="0" w:color="auto"/>
            </w:tcBorders>
            <w:vAlign w:val="center"/>
          </w:tcPr>
          <w:p w14:paraId="7F6EA4A2" w14:textId="77777777" w:rsidR="00496AF8" w:rsidRPr="00AD5DCE" w:rsidRDefault="00496AF8" w:rsidP="00496AF8">
            <w:pPr>
              <w:widowControl w:val="0"/>
              <w:autoSpaceDE w:val="0"/>
              <w:autoSpaceDN w:val="0"/>
              <w:spacing w:line="240" w:lineRule="auto"/>
              <w:ind w:hanging="10"/>
              <w:jc w:val="center"/>
              <w:rPr>
                <w:rFonts w:eastAsia="Times New Roman"/>
                <w:b/>
                <w:color w:val="0D0D0D" w:themeColor="text1" w:themeTint="F2"/>
              </w:rPr>
            </w:pPr>
            <w:r w:rsidRPr="00AD5DCE">
              <w:rPr>
                <w:rFonts w:eastAsia="Aptos"/>
                <w:b/>
                <w:bCs/>
                <w:color w:val="0D0D0D" w:themeColor="text1" w:themeTint="F2"/>
              </w:rPr>
              <w:t>NTCP S267F</w:t>
            </w:r>
          </w:p>
        </w:tc>
        <w:tc>
          <w:tcPr>
            <w:tcW w:w="2646" w:type="dxa"/>
            <w:gridSpan w:val="2"/>
            <w:tcBorders>
              <w:left w:val="single" w:sz="4" w:space="0" w:color="auto"/>
            </w:tcBorders>
            <w:vAlign w:val="center"/>
          </w:tcPr>
          <w:p w14:paraId="52AED762" w14:textId="77777777" w:rsidR="00496AF8" w:rsidRPr="00AD5DCE" w:rsidRDefault="00496AF8" w:rsidP="00496AF8">
            <w:pPr>
              <w:widowControl w:val="0"/>
              <w:autoSpaceDE w:val="0"/>
              <w:autoSpaceDN w:val="0"/>
              <w:spacing w:line="240" w:lineRule="auto"/>
              <w:ind w:hanging="10"/>
              <w:jc w:val="center"/>
              <w:rPr>
                <w:rFonts w:eastAsia="Times New Roman"/>
                <w:b/>
                <w:color w:val="0D0D0D" w:themeColor="text1" w:themeTint="F2"/>
              </w:rPr>
            </w:pPr>
            <w:r w:rsidRPr="00AD5DCE">
              <w:rPr>
                <w:rFonts w:eastAsia="Times New Roman"/>
                <w:b/>
                <w:color w:val="0D0D0D" w:themeColor="text1" w:themeTint="F2"/>
              </w:rPr>
              <w:t>Chronic liver diseases (n=743)</w:t>
            </w:r>
          </w:p>
        </w:tc>
        <w:tc>
          <w:tcPr>
            <w:tcW w:w="1260" w:type="dxa"/>
            <w:vMerge w:val="restart"/>
            <w:vAlign w:val="center"/>
          </w:tcPr>
          <w:p w14:paraId="1889A03F" w14:textId="77777777" w:rsidR="00496AF8" w:rsidRPr="00AD5DCE" w:rsidRDefault="00496AF8" w:rsidP="00496AF8">
            <w:pPr>
              <w:widowControl w:val="0"/>
              <w:autoSpaceDE w:val="0"/>
              <w:autoSpaceDN w:val="0"/>
              <w:spacing w:line="240" w:lineRule="auto"/>
              <w:ind w:hanging="10"/>
              <w:jc w:val="center"/>
              <w:rPr>
                <w:rFonts w:eastAsia="Times New Roman"/>
                <w:b/>
                <w:bCs/>
                <w:color w:val="0D0D0D" w:themeColor="text1" w:themeTint="F2"/>
              </w:rPr>
            </w:pPr>
            <w:r w:rsidRPr="00AD5DCE">
              <w:rPr>
                <w:rFonts w:eastAsia="Times New Roman"/>
                <w:b/>
                <w:bCs/>
                <w:color w:val="0D0D0D" w:themeColor="text1" w:themeTint="F2"/>
              </w:rPr>
              <w:t>OR</w:t>
            </w:r>
            <w:r w:rsidRPr="00AD5DCE">
              <w:rPr>
                <w:rFonts w:eastAsia="Times New Roman"/>
                <w:b/>
                <w:bCs/>
                <w:color w:val="0D0D0D" w:themeColor="text1" w:themeTint="F2"/>
                <w:vertAlign w:val="superscript"/>
              </w:rPr>
              <w:t>*</w:t>
            </w:r>
          </w:p>
          <w:p w14:paraId="72D55BF6" w14:textId="77777777" w:rsidR="00496AF8" w:rsidRPr="00AD5DCE" w:rsidRDefault="00496AF8" w:rsidP="00496AF8">
            <w:pPr>
              <w:widowControl w:val="0"/>
              <w:autoSpaceDE w:val="0"/>
              <w:autoSpaceDN w:val="0"/>
              <w:spacing w:line="240" w:lineRule="auto"/>
              <w:ind w:hanging="10"/>
              <w:jc w:val="center"/>
              <w:rPr>
                <w:rFonts w:eastAsia="Times New Roman"/>
                <w:b/>
                <w:color w:val="0D0D0D" w:themeColor="text1" w:themeTint="F2"/>
                <w:position w:val="-8"/>
              </w:rPr>
            </w:pPr>
            <w:r w:rsidRPr="00AD5DCE">
              <w:rPr>
                <w:rFonts w:eastAsia="Times New Roman"/>
                <w:b/>
                <w:bCs/>
                <w:color w:val="0D0D0D" w:themeColor="text1" w:themeTint="F2"/>
              </w:rPr>
              <w:t>(95% CI)</w:t>
            </w:r>
          </w:p>
        </w:tc>
        <w:tc>
          <w:tcPr>
            <w:tcW w:w="990" w:type="dxa"/>
            <w:vMerge w:val="restart"/>
            <w:vAlign w:val="center"/>
          </w:tcPr>
          <w:p w14:paraId="7E35ECB7" w14:textId="77777777" w:rsidR="00496AF8" w:rsidRPr="00AD5DCE" w:rsidRDefault="00496AF8" w:rsidP="00496AF8">
            <w:pPr>
              <w:widowControl w:val="0"/>
              <w:autoSpaceDE w:val="0"/>
              <w:autoSpaceDN w:val="0"/>
              <w:spacing w:line="240" w:lineRule="auto"/>
              <w:ind w:hanging="10"/>
              <w:jc w:val="center"/>
              <w:rPr>
                <w:rFonts w:eastAsia="Times New Roman"/>
                <w:b/>
                <w:color w:val="0D0D0D" w:themeColor="text1" w:themeTint="F2"/>
              </w:rPr>
            </w:pPr>
            <w:r w:rsidRPr="00AD5DCE">
              <w:rPr>
                <w:rFonts w:eastAsia="Times New Roman"/>
                <w:b/>
                <w:color w:val="0D0D0D" w:themeColor="text1" w:themeTint="F2"/>
                <w:position w:val="-8"/>
              </w:rPr>
              <w:t>p</w:t>
            </w:r>
          </w:p>
        </w:tc>
      </w:tr>
      <w:tr w:rsidR="00496AF8" w:rsidRPr="00AD5DCE" w14:paraId="5B4EB6B2" w14:textId="77777777" w:rsidTr="00496AF8">
        <w:trPr>
          <w:trHeight w:val="379"/>
        </w:trPr>
        <w:tc>
          <w:tcPr>
            <w:tcW w:w="1309" w:type="dxa"/>
            <w:vMerge/>
            <w:tcBorders>
              <w:top w:val="nil"/>
              <w:bottom w:val="single" w:sz="4" w:space="0" w:color="000000"/>
              <w:right w:val="single" w:sz="4" w:space="0" w:color="auto"/>
            </w:tcBorders>
            <w:vAlign w:val="center"/>
          </w:tcPr>
          <w:p w14:paraId="7550C93B" w14:textId="77777777" w:rsidR="00496AF8" w:rsidRPr="00AD5DCE" w:rsidRDefault="00496AF8" w:rsidP="00496AF8">
            <w:pPr>
              <w:spacing w:line="240" w:lineRule="auto"/>
              <w:ind w:hanging="10"/>
              <w:jc w:val="center"/>
              <w:rPr>
                <w:color w:val="0D0D0D" w:themeColor="text1" w:themeTint="F2"/>
              </w:rPr>
            </w:pPr>
          </w:p>
        </w:tc>
        <w:tc>
          <w:tcPr>
            <w:tcW w:w="1296" w:type="dxa"/>
            <w:tcBorders>
              <w:left w:val="single" w:sz="4" w:space="0" w:color="auto"/>
              <w:bottom w:val="single" w:sz="4" w:space="0" w:color="000000"/>
              <w:right w:val="single" w:sz="4" w:space="0" w:color="auto"/>
            </w:tcBorders>
            <w:vAlign w:val="center"/>
          </w:tcPr>
          <w:p w14:paraId="3744D4B2" w14:textId="77777777" w:rsidR="00496AF8" w:rsidRPr="00AD5DCE" w:rsidRDefault="00496AF8" w:rsidP="00496AF8">
            <w:pPr>
              <w:widowControl w:val="0"/>
              <w:autoSpaceDE w:val="0"/>
              <w:autoSpaceDN w:val="0"/>
              <w:spacing w:line="240" w:lineRule="auto"/>
              <w:ind w:hanging="10"/>
              <w:jc w:val="center"/>
              <w:rPr>
                <w:rFonts w:eastAsia="Times New Roman"/>
                <w:b/>
                <w:color w:val="0D0D0D" w:themeColor="text1" w:themeTint="F2"/>
              </w:rPr>
            </w:pPr>
            <w:r w:rsidRPr="00AD5DCE">
              <w:rPr>
                <w:rFonts w:eastAsia="Times New Roman"/>
                <w:b/>
                <w:color w:val="0D0D0D" w:themeColor="text1" w:themeTint="F2"/>
              </w:rPr>
              <w:t>Yes (n=429)</w:t>
            </w:r>
          </w:p>
          <w:p w14:paraId="66A078AB" w14:textId="77777777" w:rsidR="00496AF8" w:rsidRPr="00AD5DCE" w:rsidRDefault="00496AF8" w:rsidP="00496AF8">
            <w:pPr>
              <w:widowControl w:val="0"/>
              <w:autoSpaceDE w:val="0"/>
              <w:autoSpaceDN w:val="0"/>
              <w:spacing w:line="240" w:lineRule="auto"/>
              <w:ind w:hanging="10"/>
              <w:jc w:val="center"/>
              <w:rPr>
                <w:rFonts w:eastAsia="Times New Roman"/>
                <w:b/>
                <w:color w:val="0D0D0D" w:themeColor="text1" w:themeTint="F2"/>
              </w:rPr>
            </w:pPr>
            <w:r w:rsidRPr="00AD5DCE">
              <w:rPr>
                <w:rFonts w:eastAsia="Times New Roman"/>
                <w:bCs/>
                <w:color w:val="0D0D0D" w:themeColor="text1" w:themeTint="F2"/>
              </w:rPr>
              <w:t>n (%)</w:t>
            </w:r>
          </w:p>
        </w:tc>
        <w:tc>
          <w:tcPr>
            <w:tcW w:w="1350" w:type="dxa"/>
            <w:tcBorders>
              <w:left w:val="single" w:sz="4" w:space="0" w:color="auto"/>
              <w:bottom w:val="single" w:sz="4" w:space="0" w:color="000000"/>
            </w:tcBorders>
            <w:vAlign w:val="center"/>
          </w:tcPr>
          <w:p w14:paraId="35422751" w14:textId="77777777" w:rsidR="00496AF8" w:rsidRPr="00AD5DCE" w:rsidRDefault="00496AF8" w:rsidP="00496AF8">
            <w:pPr>
              <w:widowControl w:val="0"/>
              <w:autoSpaceDE w:val="0"/>
              <w:autoSpaceDN w:val="0"/>
              <w:spacing w:line="240" w:lineRule="auto"/>
              <w:ind w:hanging="10"/>
              <w:jc w:val="center"/>
              <w:rPr>
                <w:rFonts w:eastAsia="Times New Roman"/>
                <w:b/>
                <w:color w:val="0D0D0D" w:themeColor="text1" w:themeTint="F2"/>
              </w:rPr>
            </w:pPr>
            <w:r w:rsidRPr="00AD5DCE">
              <w:rPr>
                <w:rFonts w:eastAsia="Times New Roman"/>
                <w:b/>
                <w:color w:val="0D0D0D" w:themeColor="text1" w:themeTint="F2"/>
              </w:rPr>
              <w:t>No (n=314)</w:t>
            </w:r>
          </w:p>
          <w:p w14:paraId="45EB172E" w14:textId="77777777" w:rsidR="00496AF8" w:rsidRPr="00AD5DCE" w:rsidRDefault="00496AF8" w:rsidP="00496AF8">
            <w:pPr>
              <w:widowControl w:val="0"/>
              <w:autoSpaceDE w:val="0"/>
              <w:autoSpaceDN w:val="0"/>
              <w:spacing w:line="240" w:lineRule="auto"/>
              <w:ind w:hanging="10"/>
              <w:jc w:val="center"/>
              <w:rPr>
                <w:rFonts w:eastAsia="Times New Roman"/>
                <w:bCs/>
                <w:color w:val="0D0D0D" w:themeColor="text1" w:themeTint="F2"/>
              </w:rPr>
            </w:pPr>
            <w:r w:rsidRPr="00AD5DCE">
              <w:rPr>
                <w:rFonts w:eastAsia="Times New Roman"/>
                <w:b/>
                <w:color w:val="0D0D0D" w:themeColor="text1" w:themeTint="F2"/>
              </w:rPr>
              <w:t xml:space="preserve"> </w:t>
            </w:r>
            <w:r w:rsidRPr="00AD5DCE">
              <w:rPr>
                <w:rFonts w:eastAsia="Times New Roman"/>
                <w:bCs/>
                <w:color w:val="0D0D0D" w:themeColor="text1" w:themeTint="F2"/>
              </w:rPr>
              <w:t>n (%)</w:t>
            </w:r>
          </w:p>
        </w:tc>
        <w:tc>
          <w:tcPr>
            <w:tcW w:w="1260" w:type="dxa"/>
            <w:vMerge/>
            <w:tcBorders>
              <w:bottom w:val="single" w:sz="4" w:space="0" w:color="000000"/>
            </w:tcBorders>
            <w:vAlign w:val="center"/>
          </w:tcPr>
          <w:p w14:paraId="66E527DC" w14:textId="77777777" w:rsidR="00496AF8" w:rsidRPr="00AD5DCE" w:rsidRDefault="00496AF8" w:rsidP="00496AF8">
            <w:pPr>
              <w:spacing w:line="240" w:lineRule="auto"/>
              <w:ind w:hanging="10"/>
              <w:jc w:val="center"/>
              <w:rPr>
                <w:color w:val="0D0D0D" w:themeColor="text1" w:themeTint="F2"/>
              </w:rPr>
            </w:pPr>
          </w:p>
        </w:tc>
        <w:tc>
          <w:tcPr>
            <w:tcW w:w="990" w:type="dxa"/>
            <w:vMerge/>
            <w:tcBorders>
              <w:top w:val="nil"/>
              <w:bottom w:val="single" w:sz="4" w:space="0" w:color="000000"/>
            </w:tcBorders>
            <w:vAlign w:val="center"/>
          </w:tcPr>
          <w:p w14:paraId="00370F33" w14:textId="77777777" w:rsidR="00496AF8" w:rsidRPr="00AD5DCE" w:rsidRDefault="00496AF8" w:rsidP="00496AF8">
            <w:pPr>
              <w:spacing w:line="240" w:lineRule="auto"/>
              <w:ind w:hanging="10"/>
              <w:jc w:val="center"/>
              <w:rPr>
                <w:color w:val="0D0D0D" w:themeColor="text1" w:themeTint="F2"/>
              </w:rPr>
            </w:pPr>
          </w:p>
        </w:tc>
      </w:tr>
      <w:tr w:rsidR="00496AF8" w:rsidRPr="00AD5DCE" w14:paraId="0183D2A2" w14:textId="77777777" w:rsidTr="00496AF8">
        <w:trPr>
          <w:trHeight w:val="395"/>
        </w:trPr>
        <w:tc>
          <w:tcPr>
            <w:tcW w:w="1309" w:type="dxa"/>
            <w:vAlign w:val="center"/>
          </w:tcPr>
          <w:p w14:paraId="75C3BA15" w14:textId="77777777" w:rsidR="00496AF8" w:rsidRPr="00AD5DCE" w:rsidRDefault="00496AF8" w:rsidP="00496AF8">
            <w:pPr>
              <w:widowControl w:val="0"/>
              <w:autoSpaceDE w:val="0"/>
              <w:autoSpaceDN w:val="0"/>
              <w:spacing w:line="240" w:lineRule="auto"/>
              <w:ind w:left="142" w:hanging="10"/>
              <w:jc w:val="left"/>
              <w:rPr>
                <w:rFonts w:eastAsia="Times New Roman"/>
                <w:color w:val="0D0D0D" w:themeColor="text1" w:themeTint="F2"/>
              </w:rPr>
            </w:pPr>
            <w:r w:rsidRPr="00AD5DCE">
              <w:rPr>
                <w:rFonts w:eastAsia="Aptos"/>
                <w:color w:val="0D0D0D" w:themeColor="text1" w:themeTint="F2"/>
              </w:rPr>
              <w:t>Yes (CT)</w:t>
            </w:r>
          </w:p>
        </w:tc>
        <w:tc>
          <w:tcPr>
            <w:tcW w:w="1296" w:type="dxa"/>
            <w:vAlign w:val="center"/>
          </w:tcPr>
          <w:p w14:paraId="70C6A3AC"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r w:rsidRPr="00AD5DCE">
              <w:rPr>
                <w:rFonts w:eastAsia="Times New Roman"/>
                <w:color w:val="0D0D0D" w:themeColor="text1" w:themeTint="F2"/>
              </w:rPr>
              <w:t>51 (11.9)</w:t>
            </w:r>
          </w:p>
        </w:tc>
        <w:tc>
          <w:tcPr>
            <w:tcW w:w="1350" w:type="dxa"/>
            <w:vAlign w:val="center"/>
          </w:tcPr>
          <w:p w14:paraId="0F81FAFE"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r w:rsidRPr="00AD5DCE">
              <w:rPr>
                <w:rFonts w:eastAsia="Times New Roman"/>
                <w:color w:val="0D0D0D" w:themeColor="text1" w:themeTint="F2"/>
              </w:rPr>
              <w:t>60 (19.1)</w:t>
            </w:r>
          </w:p>
        </w:tc>
        <w:tc>
          <w:tcPr>
            <w:tcW w:w="1260" w:type="dxa"/>
            <w:vMerge w:val="restart"/>
            <w:vAlign w:val="center"/>
          </w:tcPr>
          <w:p w14:paraId="08869F58"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r w:rsidRPr="00AD5DCE">
              <w:rPr>
                <w:rFonts w:eastAsia="Times New Roman"/>
                <w:color w:val="0D0D0D" w:themeColor="text1" w:themeTint="F2"/>
              </w:rPr>
              <w:t>0.5 (0.3-0.9)</w:t>
            </w:r>
          </w:p>
        </w:tc>
        <w:tc>
          <w:tcPr>
            <w:tcW w:w="990" w:type="dxa"/>
            <w:vMerge w:val="restart"/>
            <w:vAlign w:val="center"/>
          </w:tcPr>
          <w:p w14:paraId="2F9BA7DF" w14:textId="77777777" w:rsidR="00496AF8" w:rsidRPr="00AD5DCE" w:rsidRDefault="00496AF8" w:rsidP="00496AF8">
            <w:pPr>
              <w:widowControl w:val="0"/>
              <w:autoSpaceDE w:val="0"/>
              <w:autoSpaceDN w:val="0"/>
              <w:spacing w:line="240" w:lineRule="auto"/>
              <w:ind w:hanging="10"/>
              <w:jc w:val="center"/>
              <w:rPr>
                <w:rFonts w:eastAsia="Times New Roman"/>
                <w:b/>
                <w:bCs/>
                <w:color w:val="0D0D0D" w:themeColor="text1" w:themeTint="F2"/>
              </w:rPr>
            </w:pPr>
            <w:r w:rsidRPr="00AD5DCE">
              <w:rPr>
                <w:rFonts w:eastAsia="Times New Roman"/>
                <w:b/>
                <w:bCs/>
                <w:color w:val="0D0D0D" w:themeColor="text1" w:themeTint="F2"/>
              </w:rPr>
              <w:t>0.013</w:t>
            </w:r>
          </w:p>
        </w:tc>
      </w:tr>
      <w:tr w:rsidR="00496AF8" w:rsidRPr="00AD5DCE" w14:paraId="4FD7C752" w14:textId="77777777" w:rsidTr="00496AF8">
        <w:trPr>
          <w:trHeight w:val="391"/>
        </w:trPr>
        <w:tc>
          <w:tcPr>
            <w:tcW w:w="1309" w:type="dxa"/>
            <w:vAlign w:val="center"/>
          </w:tcPr>
          <w:p w14:paraId="3934424E" w14:textId="77777777" w:rsidR="00496AF8" w:rsidRPr="00AD5DCE" w:rsidRDefault="00496AF8" w:rsidP="00496AF8">
            <w:pPr>
              <w:widowControl w:val="0"/>
              <w:autoSpaceDE w:val="0"/>
              <w:autoSpaceDN w:val="0"/>
              <w:spacing w:line="240" w:lineRule="auto"/>
              <w:ind w:left="142" w:hanging="10"/>
              <w:jc w:val="left"/>
              <w:rPr>
                <w:rFonts w:eastAsia="Times New Roman"/>
                <w:color w:val="0D0D0D" w:themeColor="text1" w:themeTint="F2"/>
              </w:rPr>
            </w:pPr>
            <w:r w:rsidRPr="00AD5DCE">
              <w:rPr>
                <w:rFonts w:eastAsia="Aptos"/>
                <w:color w:val="0D0D0D" w:themeColor="text1" w:themeTint="F2"/>
              </w:rPr>
              <w:t>No (CC)</w:t>
            </w:r>
          </w:p>
        </w:tc>
        <w:tc>
          <w:tcPr>
            <w:tcW w:w="1296" w:type="dxa"/>
            <w:vAlign w:val="center"/>
          </w:tcPr>
          <w:p w14:paraId="24E07FAF"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r w:rsidRPr="00AD5DCE">
              <w:rPr>
                <w:rFonts w:eastAsia="Times New Roman"/>
                <w:color w:val="0D0D0D" w:themeColor="text1" w:themeTint="F2"/>
              </w:rPr>
              <w:t>378 (88.1)</w:t>
            </w:r>
          </w:p>
        </w:tc>
        <w:tc>
          <w:tcPr>
            <w:tcW w:w="1350" w:type="dxa"/>
            <w:vAlign w:val="center"/>
          </w:tcPr>
          <w:p w14:paraId="538F173E"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r w:rsidRPr="00AD5DCE">
              <w:rPr>
                <w:rFonts w:eastAsia="Times New Roman"/>
                <w:color w:val="0D0D0D" w:themeColor="text1" w:themeTint="F2"/>
              </w:rPr>
              <w:t>254 (80.9)</w:t>
            </w:r>
          </w:p>
        </w:tc>
        <w:tc>
          <w:tcPr>
            <w:tcW w:w="1260" w:type="dxa"/>
            <w:vMerge/>
            <w:vAlign w:val="center"/>
          </w:tcPr>
          <w:p w14:paraId="337B87FB"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p>
        </w:tc>
        <w:tc>
          <w:tcPr>
            <w:tcW w:w="990" w:type="dxa"/>
            <w:vMerge/>
            <w:vAlign w:val="center"/>
          </w:tcPr>
          <w:p w14:paraId="251C7596" w14:textId="77777777" w:rsidR="00496AF8" w:rsidRPr="00AD5DCE" w:rsidRDefault="00496AF8" w:rsidP="00496AF8">
            <w:pPr>
              <w:widowControl w:val="0"/>
              <w:autoSpaceDE w:val="0"/>
              <w:autoSpaceDN w:val="0"/>
              <w:spacing w:line="240" w:lineRule="auto"/>
              <w:ind w:hanging="10"/>
              <w:jc w:val="center"/>
              <w:rPr>
                <w:rFonts w:eastAsia="Times New Roman"/>
                <w:b/>
                <w:bCs/>
                <w:color w:val="0D0D0D" w:themeColor="text1" w:themeTint="F2"/>
              </w:rPr>
            </w:pPr>
          </w:p>
        </w:tc>
      </w:tr>
      <w:tr w:rsidR="00496AF8" w:rsidRPr="00AD5DCE" w14:paraId="7E3C90A9" w14:textId="77777777" w:rsidTr="00496AF8">
        <w:trPr>
          <w:trHeight w:val="316"/>
        </w:trPr>
        <w:tc>
          <w:tcPr>
            <w:tcW w:w="1309" w:type="dxa"/>
            <w:tcBorders>
              <w:bottom w:val="single" w:sz="4" w:space="0" w:color="auto"/>
            </w:tcBorders>
            <w:vAlign w:val="center"/>
          </w:tcPr>
          <w:p w14:paraId="240667BD" w14:textId="12C08FD2" w:rsidR="00496AF8" w:rsidRPr="00AD5DCE" w:rsidRDefault="002F560D" w:rsidP="00496AF8">
            <w:pPr>
              <w:widowControl w:val="0"/>
              <w:autoSpaceDE w:val="0"/>
              <w:autoSpaceDN w:val="0"/>
              <w:spacing w:line="240" w:lineRule="auto"/>
              <w:ind w:left="426" w:hanging="10"/>
              <w:jc w:val="center"/>
              <w:rPr>
                <w:rFonts w:eastAsia="Times New Roman"/>
                <w:color w:val="0D0D0D" w:themeColor="text1" w:themeTint="F2"/>
              </w:rPr>
            </w:pPr>
            <w:r>
              <w:rPr>
                <w:rFonts w:eastAsia="Times New Roman"/>
                <w:color w:val="0D0D0D" w:themeColor="text1" w:themeTint="F2"/>
              </w:rPr>
              <w:t>Total</w:t>
            </w:r>
          </w:p>
        </w:tc>
        <w:tc>
          <w:tcPr>
            <w:tcW w:w="1296" w:type="dxa"/>
            <w:tcBorders>
              <w:bottom w:val="single" w:sz="4" w:space="0" w:color="auto"/>
            </w:tcBorders>
            <w:vAlign w:val="center"/>
          </w:tcPr>
          <w:p w14:paraId="24C6740F"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r w:rsidRPr="00AD5DCE">
              <w:rPr>
                <w:rFonts w:eastAsia="Times New Roman"/>
                <w:color w:val="0D0D0D" w:themeColor="text1" w:themeTint="F2"/>
              </w:rPr>
              <w:t>429 (100)</w:t>
            </w:r>
          </w:p>
        </w:tc>
        <w:tc>
          <w:tcPr>
            <w:tcW w:w="1350" w:type="dxa"/>
            <w:tcBorders>
              <w:bottom w:val="single" w:sz="4" w:space="0" w:color="auto"/>
            </w:tcBorders>
            <w:vAlign w:val="center"/>
          </w:tcPr>
          <w:p w14:paraId="6C5F3857"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r w:rsidRPr="00AD5DCE">
              <w:rPr>
                <w:rFonts w:eastAsia="Times New Roman"/>
                <w:color w:val="0D0D0D" w:themeColor="text1" w:themeTint="F2"/>
              </w:rPr>
              <w:t>314 (100)</w:t>
            </w:r>
          </w:p>
        </w:tc>
        <w:tc>
          <w:tcPr>
            <w:tcW w:w="1260" w:type="dxa"/>
            <w:vMerge/>
            <w:tcBorders>
              <w:bottom w:val="single" w:sz="4" w:space="0" w:color="auto"/>
            </w:tcBorders>
            <w:vAlign w:val="center"/>
          </w:tcPr>
          <w:p w14:paraId="1C015A18" w14:textId="77777777" w:rsidR="00496AF8" w:rsidRPr="00AD5DCE" w:rsidRDefault="00496AF8" w:rsidP="00496AF8">
            <w:pPr>
              <w:widowControl w:val="0"/>
              <w:autoSpaceDE w:val="0"/>
              <w:autoSpaceDN w:val="0"/>
              <w:spacing w:line="240" w:lineRule="auto"/>
              <w:ind w:hanging="10"/>
              <w:jc w:val="center"/>
              <w:rPr>
                <w:rFonts w:eastAsia="Times New Roman"/>
                <w:color w:val="0D0D0D" w:themeColor="text1" w:themeTint="F2"/>
              </w:rPr>
            </w:pPr>
          </w:p>
        </w:tc>
        <w:tc>
          <w:tcPr>
            <w:tcW w:w="990" w:type="dxa"/>
            <w:vMerge/>
            <w:tcBorders>
              <w:bottom w:val="single" w:sz="4" w:space="0" w:color="auto"/>
            </w:tcBorders>
            <w:vAlign w:val="center"/>
          </w:tcPr>
          <w:p w14:paraId="7AEA0130" w14:textId="77777777" w:rsidR="00496AF8" w:rsidRPr="00AD5DCE" w:rsidRDefault="00496AF8" w:rsidP="00496AF8">
            <w:pPr>
              <w:widowControl w:val="0"/>
              <w:autoSpaceDE w:val="0"/>
              <w:autoSpaceDN w:val="0"/>
              <w:spacing w:line="240" w:lineRule="auto"/>
              <w:ind w:hanging="10"/>
              <w:jc w:val="center"/>
              <w:rPr>
                <w:rFonts w:eastAsia="Times New Roman"/>
                <w:b/>
                <w:bCs/>
                <w:color w:val="0D0D0D" w:themeColor="text1" w:themeTint="F2"/>
              </w:rPr>
            </w:pPr>
          </w:p>
        </w:tc>
      </w:tr>
    </w:tbl>
    <w:p w14:paraId="5CAAD88E" w14:textId="27900587" w:rsidR="00556026" w:rsidRPr="00AD5DCE" w:rsidRDefault="00556026" w:rsidP="00556026">
      <w:pPr>
        <w:rPr>
          <w:i/>
          <w:iCs/>
          <w:color w:val="0D0D0D" w:themeColor="text1" w:themeTint="F2"/>
        </w:rPr>
      </w:pPr>
      <w:r w:rsidRPr="00AD5DCE">
        <w:rPr>
          <w:i/>
          <w:iCs/>
          <w:color w:val="0D0D0D" w:themeColor="text1" w:themeTint="F2"/>
        </w:rPr>
        <w:t xml:space="preserve"> </w:t>
      </w:r>
      <w:r w:rsidR="006771C0" w:rsidRPr="00AD5DCE">
        <w:rPr>
          <w:i/>
          <w:iCs/>
        </w:rPr>
        <w:t>OR* adjusted for age and sex</w:t>
      </w:r>
    </w:p>
    <w:p w14:paraId="56C5C52B" w14:textId="69477CF7" w:rsidR="000C2105" w:rsidRDefault="00D34535" w:rsidP="000C2105">
      <w:pPr>
        <w:keepNext/>
        <w:rPr>
          <w:color w:val="0D0D0D" w:themeColor="text1" w:themeTint="F2"/>
          <w:lang w:val="vi-VN"/>
        </w:rPr>
      </w:pPr>
      <w:bookmarkStart w:id="32" w:name="_Toc207715178"/>
      <w:bookmarkStart w:id="33" w:name="_Toc207715307"/>
      <w:bookmarkStart w:id="34" w:name="_Ref210993352"/>
      <w:bookmarkStart w:id="35" w:name="_Toc210992895"/>
      <w:r w:rsidRPr="00D34535">
        <w:rPr>
          <w:color w:val="0D0D0D" w:themeColor="text1" w:themeTint="F2"/>
        </w:rPr>
        <w:t>Carriers of the NTCP S267F variant showed a significantly lower risk of chronic liver disease compared with individuals carrying the wild-type genotype. The presence of this variant was associated with approximately a 50% reduction in disease risk (OR</w:t>
      </w:r>
      <w:r w:rsidR="000C2105">
        <w:rPr>
          <w:color w:val="0D0D0D" w:themeColor="text1" w:themeTint="F2"/>
          <w:lang w:val="vi-VN"/>
        </w:rPr>
        <w:t>=</w:t>
      </w:r>
      <w:r w:rsidRPr="00D34535">
        <w:rPr>
          <w:color w:val="0D0D0D" w:themeColor="text1" w:themeTint="F2"/>
        </w:rPr>
        <w:t>0.5, p &lt; 0.05), suggesting a potential protective effect against chronic liver disease.</w:t>
      </w:r>
    </w:p>
    <w:p w14:paraId="15DBFB8E" w14:textId="076F6015" w:rsidR="00556026" w:rsidRPr="00AD5DCE" w:rsidRDefault="00D6554E" w:rsidP="00556026">
      <w:pPr>
        <w:keepNext/>
        <w:jc w:val="center"/>
        <w:rPr>
          <w:b/>
          <w:bCs/>
          <w:color w:val="0D0D0D" w:themeColor="text1" w:themeTint="F2"/>
        </w:rPr>
      </w:pPr>
      <w:r w:rsidRPr="00AD5DCE">
        <w:rPr>
          <w:b/>
          <w:bCs/>
          <w:color w:val="0D0D0D" w:themeColor="text1" w:themeTint="F2"/>
        </w:rPr>
        <w:t>Table 3.</w:t>
      </w:r>
      <w:r w:rsidR="00EF225C">
        <w:rPr>
          <w:b/>
          <w:bCs/>
          <w:color w:val="0D0D0D" w:themeColor="text1" w:themeTint="F2"/>
        </w:rPr>
        <w:t>9</w:t>
      </w:r>
      <w:r w:rsidRPr="00AD5DCE">
        <w:rPr>
          <w:b/>
          <w:bCs/>
          <w:color w:val="0D0D0D" w:themeColor="text1" w:themeTint="F2"/>
        </w:rPr>
        <w:t xml:space="preserve">. Association Between the </w:t>
      </w:r>
      <w:r w:rsidR="005B5D37">
        <w:rPr>
          <w:b/>
          <w:bCs/>
          <w:color w:val="0D0D0D" w:themeColor="text1" w:themeTint="F2"/>
        </w:rPr>
        <w:t>NTCP S267F variant</w:t>
      </w:r>
      <w:r w:rsidRPr="00AD5DCE">
        <w:rPr>
          <w:b/>
          <w:bCs/>
          <w:color w:val="0D0D0D" w:themeColor="text1" w:themeTint="F2"/>
        </w:rPr>
        <w:t xml:space="preserve"> and Disease Groups </w:t>
      </w:r>
      <w:r w:rsidRPr="00AD5DCE">
        <w:rPr>
          <w:b/>
          <w:bCs/>
          <w:color w:val="0D0D0D" w:themeColor="text1" w:themeTint="F2"/>
          <w:lang w:val="vi-VN"/>
        </w:rPr>
        <w:t xml:space="preserve"> </w:t>
      </w:r>
      <w:bookmarkEnd w:id="32"/>
      <w:bookmarkEnd w:id="33"/>
      <w:bookmarkEnd w:id="34"/>
      <w:bookmarkEnd w:id="35"/>
    </w:p>
    <w:tbl>
      <w:tblPr>
        <w:tblStyle w:val="TableGrid4"/>
        <w:tblpPr w:leftFromText="180" w:rightFromText="180" w:vertAnchor="text" w:horzAnchor="margin" w:tblpY="71"/>
        <w:tblOverlap w:val="never"/>
        <w:tblW w:w="6210" w:type="dxa"/>
        <w:tblLayout w:type="fixed"/>
        <w:tblLook w:val="04A0" w:firstRow="1" w:lastRow="0" w:firstColumn="1" w:lastColumn="0" w:noHBand="0" w:noVBand="1"/>
      </w:tblPr>
      <w:tblGrid>
        <w:gridCol w:w="900"/>
        <w:gridCol w:w="1170"/>
        <w:gridCol w:w="540"/>
        <w:gridCol w:w="1260"/>
        <w:gridCol w:w="540"/>
        <w:gridCol w:w="1170"/>
        <w:gridCol w:w="630"/>
      </w:tblGrid>
      <w:tr w:rsidR="00D6554E" w:rsidRPr="00AD5DCE" w14:paraId="735551CE" w14:textId="77777777" w:rsidTr="00D6554E">
        <w:trPr>
          <w:trHeight w:val="836"/>
        </w:trPr>
        <w:tc>
          <w:tcPr>
            <w:tcW w:w="900" w:type="dxa"/>
            <w:vMerge w:val="restart"/>
            <w:vAlign w:val="center"/>
          </w:tcPr>
          <w:p w14:paraId="3EEA99A4" w14:textId="77777777" w:rsidR="00D6554E" w:rsidRPr="00AD5DCE" w:rsidRDefault="00D6554E" w:rsidP="00D6554E">
            <w:pPr>
              <w:widowControl w:val="0"/>
              <w:ind w:left="-110" w:right="-20" w:firstLine="0"/>
              <w:jc w:val="center"/>
              <w:rPr>
                <w:rFonts w:eastAsia="Aptos"/>
                <w:b/>
                <w:bCs/>
                <w:color w:val="0D0D0D" w:themeColor="text1" w:themeTint="F2"/>
              </w:rPr>
            </w:pPr>
            <w:r w:rsidRPr="00AD5DCE">
              <w:rPr>
                <w:rFonts w:eastAsia="Aptos"/>
                <w:b/>
                <w:bCs/>
                <w:color w:val="0D0D0D" w:themeColor="text1" w:themeTint="F2"/>
              </w:rPr>
              <w:t>NTCP S267F</w:t>
            </w:r>
          </w:p>
        </w:tc>
        <w:tc>
          <w:tcPr>
            <w:tcW w:w="1710" w:type="dxa"/>
            <w:gridSpan w:val="2"/>
            <w:vAlign w:val="center"/>
          </w:tcPr>
          <w:p w14:paraId="4914FF6B" w14:textId="72276C25" w:rsidR="00D6554E" w:rsidRPr="00AD5DCE" w:rsidRDefault="00D6554E" w:rsidP="00D6554E">
            <w:pPr>
              <w:widowControl w:val="0"/>
              <w:ind w:left="-110" w:right="-20" w:firstLine="0"/>
              <w:jc w:val="center"/>
              <w:rPr>
                <w:rFonts w:eastAsia="Aptos"/>
                <w:b/>
                <w:bCs/>
                <w:color w:val="0D0D0D" w:themeColor="text1" w:themeTint="F2"/>
                <w:lang w:val="vi-VN"/>
              </w:rPr>
            </w:pPr>
            <w:r w:rsidRPr="00AD5DCE">
              <w:rPr>
                <w:rFonts w:eastAsia="Aptos"/>
                <w:b/>
                <w:bCs/>
                <w:color w:val="0D0D0D" w:themeColor="text1" w:themeTint="F2"/>
              </w:rPr>
              <w:t xml:space="preserve">HCC </w:t>
            </w:r>
            <w:r w:rsidRPr="00AD5DCE">
              <w:rPr>
                <w:rFonts w:eastAsia="Aptos"/>
                <w:color w:val="0D0D0D" w:themeColor="text1" w:themeTint="F2"/>
              </w:rPr>
              <w:t>(n=231)</w:t>
            </w:r>
            <w:r w:rsidRPr="00AD5DCE">
              <w:rPr>
                <w:rFonts w:eastAsia="Aptos"/>
                <w:b/>
                <w:bCs/>
                <w:color w:val="0D0D0D" w:themeColor="text1" w:themeTint="F2"/>
              </w:rPr>
              <w:t xml:space="preserve"> </w:t>
            </w:r>
          </w:p>
          <w:p w14:paraId="459799B7" w14:textId="750C7620" w:rsidR="00D6554E" w:rsidRPr="00AD5DCE" w:rsidRDefault="00D6554E" w:rsidP="00D6554E">
            <w:pPr>
              <w:widowControl w:val="0"/>
              <w:ind w:left="-110" w:right="-20" w:firstLine="0"/>
              <w:jc w:val="center"/>
              <w:rPr>
                <w:rFonts w:eastAsia="Aptos"/>
                <w:b/>
                <w:bCs/>
                <w:color w:val="0D0D0D" w:themeColor="text1" w:themeTint="F2"/>
              </w:rPr>
            </w:pPr>
            <w:r w:rsidRPr="00AD5DCE">
              <w:rPr>
                <w:rFonts w:eastAsia="Aptos"/>
                <w:b/>
                <w:bCs/>
                <w:color w:val="0D0D0D" w:themeColor="text1" w:themeTint="F2"/>
              </w:rPr>
              <w:t>and control</w:t>
            </w:r>
            <w:r w:rsidRPr="00AD5DCE">
              <w:rPr>
                <w:rFonts w:eastAsia="Aptos"/>
                <w:b/>
                <w:bCs/>
                <w:color w:val="0D0D0D" w:themeColor="text1" w:themeTint="F2"/>
                <w:vertAlign w:val="superscript"/>
              </w:rPr>
              <w:t>0</w:t>
            </w:r>
            <w:r w:rsidRPr="00AD5DCE">
              <w:rPr>
                <w:rFonts w:eastAsia="Aptos"/>
                <w:b/>
                <w:bCs/>
                <w:color w:val="0D0D0D" w:themeColor="text1" w:themeTint="F2"/>
              </w:rPr>
              <w:t xml:space="preserve"> </w:t>
            </w:r>
            <w:r w:rsidRPr="00AD5DCE">
              <w:rPr>
                <w:rFonts w:eastAsia="Aptos"/>
                <w:color w:val="0D0D0D" w:themeColor="text1" w:themeTint="F2"/>
              </w:rPr>
              <w:t>(n=314)</w:t>
            </w:r>
          </w:p>
        </w:tc>
        <w:tc>
          <w:tcPr>
            <w:tcW w:w="1800" w:type="dxa"/>
            <w:gridSpan w:val="2"/>
            <w:vAlign w:val="center"/>
          </w:tcPr>
          <w:p w14:paraId="63F0E642" w14:textId="278CD52A" w:rsidR="00D6554E" w:rsidRPr="00AD5DCE" w:rsidRDefault="00D6554E" w:rsidP="00D6554E">
            <w:pPr>
              <w:widowControl w:val="0"/>
              <w:ind w:left="-110" w:right="-20" w:firstLine="0"/>
              <w:jc w:val="center"/>
              <w:rPr>
                <w:rFonts w:eastAsia="Aptos"/>
                <w:b/>
                <w:bCs/>
                <w:color w:val="0D0D0D" w:themeColor="text1" w:themeTint="F2"/>
                <w:lang w:val="vi-VN"/>
              </w:rPr>
            </w:pPr>
            <w:r w:rsidRPr="00AD5DCE">
              <w:rPr>
                <w:rFonts w:eastAsia="Aptos"/>
                <w:b/>
                <w:bCs/>
                <w:color w:val="0D0D0D" w:themeColor="text1" w:themeTint="F2"/>
              </w:rPr>
              <w:t xml:space="preserve">LC </w:t>
            </w:r>
            <w:r w:rsidRPr="00AD5DCE">
              <w:rPr>
                <w:rFonts w:eastAsia="Aptos"/>
                <w:color w:val="0D0D0D" w:themeColor="text1" w:themeTint="F2"/>
              </w:rPr>
              <w:t>(n=96)</w:t>
            </w:r>
            <w:r w:rsidRPr="00AD5DCE">
              <w:rPr>
                <w:rFonts w:eastAsia="Aptos"/>
                <w:b/>
                <w:bCs/>
                <w:color w:val="0D0D0D" w:themeColor="text1" w:themeTint="F2"/>
              </w:rPr>
              <w:t xml:space="preserve"> </w:t>
            </w:r>
          </w:p>
          <w:p w14:paraId="2BBE5795" w14:textId="387DFDD5" w:rsidR="00D6554E" w:rsidRPr="00AD5DCE" w:rsidRDefault="00D6554E" w:rsidP="00D6554E">
            <w:pPr>
              <w:widowControl w:val="0"/>
              <w:ind w:left="-110" w:right="-20" w:firstLine="0"/>
              <w:jc w:val="center"/>
              <w:rPr>
                <w:rFonts w:eastAsia="Aptos"/>
                <w:b/>
                <w:bCs/>
                <w:color w:val="0D0D0D" w:themeColor="text1" w:themeTint="F2"/>
              </w:rPr>
            </w:pPr>
            <w:r w:rsidRPr="00AD5DCE">
              <w:rPr>
                <w:rFonts w:eastAsia="Aptos"/>
                <w:b/>
                <w:bCs/>
                <w:color w:val="0D0D0D" w:themeColor="text1" w:themeTint="F2"/>
              </w:rPr>
              <w:t>and control</w:t>
            </w:r>
            <w:r w:rsidRPr="00AD5DCE">
              <w:rPr>
                <w:rFonts w:eastAsia="Aptos"/>
                <w:b/>
                <w:bCs/>
                <w:color w:val="0D0D0D" w:themeColor="text1" w:themeTint="F2"/>
                <w:vertAlign w:val="superscript"/>
              </w:rPr>
              <w:t xml:space="preserve">0 </w:t>
            </w:r>
            <w:r w:rsidRPr="00AD5DCE">
              <w:rPr>
                <w:rFonts w:eastAsia="Aptos"/>
                <w:color w:val="0D0D0D" w:themeColor="text1" w:themeTint="F2"/>
              </w:rPr>
              <w:t>(n=314)</w:t>
            </w:r>
          </w:p>
        </w:tc>
        <w:tc>
          <w:tcPr>
            <w:tcW w:w="1800" w:type="dxa"/>
            <w:gridSpan w:val="2"/>
            <w:vAlign w:val="center"/>
          </w:tcPr>
          <w:p w14:paraId="4032AE4B" w14:textId="40AA7342" w:rsidR="00D6554E" w:rsidRPr="00AD5DCE" w:rsidRDefault="00D6554E" w:rsidP="00D6554E">
            <w:pPr>
              <w:widowControl w:val="0"/>
              <w:ind w:left="-110" w:right="-20" w:firstLine="0"/>
              <w:jc w:val="center"/>
              <w:rPr>
                <w:rFonts w:eastAsia="Aptos"/>
                <w:b/>
                <w:bCs/>
                <w:color w:val="0D0D0D" w:themeColor="text1" w:themeTint="F2"/>
              </w:rPr>
            </w:pPr>
            <w:r w:rsidRPr="00AD5DCE">
              <w:rPr>
                <w:rFonts w:eastAsia="Aptos"/>
                <w:b/>
                <w:bCs/>
                <w:color w:val="0D0D0D" w:themeColor="text1" w:themeTint="F2"/>
              </w:rPr>
              <w:t xml:space="preserve">CHB </w:t>
            </w:r>
            <w:r w:rsidRPr="00AD5DCE">
              <w:rPr>
                <w:rFonts w:eastAsia="Aptos"/>
                <w:color w:val="0D0D0D" w:themeColor="text1" w:themeTint="F2"/>
              </w:rPr>
              <w:t xml:space="preserve">(n=102) </w:t>
            </w:r>
            <w:r w:rsidRPr="00AD5DCE">
              <w:rPr>
                <w:rFonts w:eastAsia="Aptos"/>
                <w:b/>
                <w:bCs/>
                <w:color w:val="0D0D0D" w:themeColor="text1" w:themeTint="F2"/>
              </w:rPr>
              <w:t>and control</w:t>
            </w:r>
            <w:r w:rsidRPr="00AD5DCE">
              <w:rPr>
                <w:rFonts w:eastAsia="Aptos"/>
                <w:b/>
                <w:bCs/>
                <w:color w:val="0D0D0D" w:themeColor="text1" w:themeTint="F2"/>
                <w:vertAlign w:val="superscript"/>
              </w:rPr>
              <w:t xml:space="preserve">0 </w:t>
            </w:r>
            <w:r w:rsidRPr="00AD5DCE">
              <w:rPr>
                <w:rFonts w:eastAsia="Aptos"/>
                <w:color w:val="0D0D0D" w:themeColor="text1" w:themeTint="F2"/>
              </w:rPr>
              <w:t>(n=314)</w:t>
            </w:r>
          </w:p>
        </w:tc>
      </w:tr>
      <w:tr w:rsidR="00D6554E" w:rsidRPr="00AD5DCE" w14:paraId="74AB32E2" w14:textId="77777777" w:rsidTr="00D6554E">
        <w:trPr>
          <w:trHeight w:val="734"/>
        </w:trPr>
        <w:tc>
          <w:tcPr>
            <w:tcW w:w="900" w:type="dxa"/>
            <w:vMerge/>
            <w:vAlign w:val="center"/>
          </w:tcPr>
          <w:p w14:paraId="2B302E85" w14:textId="77777777" w:rsidR="00D6554E" w:rsidRPr="00AD5DCE" w:rsidRDefault="00D6554E" w:rsidP="00D6554E">
            <w:pPr>
              <w:widowControl w:val="0"/>
              <w:ind w:left="-110" w:right="-20" w:firstLine="0"/>
              <w:jc w:val="center"/>
              <w:rPr>
                <w:rFonts w:eastAsia="Aptos"/>
                <w:b/>
                <w:bCs/>
                <w:color w:val="0D0D0D" w:themeColor="text1" w:themeTint="F2"/>
              </w:rPr>
            </w:pPr>
          </w:p>
        </w:tc>
        <w:tc>
          <w:tcPr>
            <w:tcW w:w="1170" w:type="dxa"/>
            <w:vAlign w:val="center"/>
          </w:tcPr>
          <w:p w14:paraId="72756055" w14:textId="77777777" w:rsidR="00D6554E" w:rsidRPr="00AD5DCE" w:rsidRDefault="00D6554E" w:rsidP="00D6554E">
            <w:pPr>
              <w:widowControl w:val="0"/>
              <w:ind w:left="-110" w:right="-20" w:firstLine="0"/>
              <w:jc w:val="center"/>
              <w:rPr>
                <w:rFonts w:eastAsia="Aptos"/>
                <w:color w:val="0D0D0D" w:themeColor="text1" w:themeTint="F2"/>
              </w:rPr>
            </w:pPr>
            <w:r w:rsidRPr="00AD5DCE">
              <w:rPr>
                <w:rFonts w:eastAsia="Aptos"/>
                <w:color w:val="0D0D0D" w:themeColor="text1" w:themeTint="F2"/>
              </w:rPr>
              <w:t>OR</w:t>
            </w:r>
            <w:r w:rsidRPr="00AD5DCE">
              <w:rPr>
                <w:rFonts w:eastAsia="Aptos"/>
                <w:color w:val="0D0D0D" w:themeColor="text1" w:themeTint="F2"/>
                <w:vertAlign w:val="superscript"/>
              </w:rPr>
              <w:t>*</w:t>
            </w:r>
          </w:p>
          <w:p w14:paraId="1BFD89AD" w14:textId="77777777" w:rsidR="00D6554E" w:rsidRPr="00AD5DCE" w:rsidRDefault="00D6554E" w:rsidP="00D6554E">
            <w:pPr>
              <w:widowControl w:val="0"/>
              <w:ind w:left="-110" w:right="-20" w:firstLine="0"/>
              <w:jc w:val="center"/>
              <w:rPr>
                <w:rFonts w:eastAsia="Aptos"/>
                <w:color w:val="0D0D0D" w:themeColor="text1" w:themeTint="F2"/>
              </w:rPr>
            </w:pPr>
            <w:r w:rsidRPr="00AD5DCE">
              <w:rPr>
                <w:rFonts w:eastAsia="Aptos"/>
                <w:color w:val="0D0D0D" w:themeColor="text1" w:themeTint="F2"/>
              </w:rPr>
              <w:t>(95% CI)</w:t>
            </w:r>
          </w:p>
        </w:tc>
        <w:tc>
          <w:tcPr>
            <w:tcW w:w="540" w:type="dxa"/>
            <w:vAlign w:val="center"/>
          </w:tcPr>
          <w:p w14:paraId="689781CB" w14:textId="77777777" w:rsidR="00D6554E" w:rsidRPr="00AD5DCE" w:rsidRDefault="00D6554E" w:rsidP="00D6554E">
            <w:pPr>
              <w:widowControl w:val="0"/>
              <w:ind w:left="-110" w:right="-20" w:firstLine="0"/>
              <w:jc w:val="center"/>
              <w:rPr>
                <w:rFonts w:eastAsia="Aptos"/>
                <w:color w:val="0D0D0D" w:themeColor="text1" w:themeTint="F2"/>
              </w:rPr>
            </w:pPr>
            <w:r w:rsidRPr="00AD5DCE">
              <w:rPr>
                <w:rFonts w:eastAsia="Aptos"/>
                <w:color w:val="0D0D0D" w:themeColor="text1" w:themeTint="F2"/>
              </w:rPr>
              <w:t>p</w:t>
            </w:r>
          </w:p>
        </w:tc>
        <w:tc>
          <w:tcPr>
            <w:tcW w:w="1260" w:type="dxa"/>
            <w:vAlign w:val="center"/>
          </w:tcPr>
          <w:p w14:paraId="175B41AF" w14:textId="77777777" w:rsidR="00D6554E" w:rsidRPr="00AD5DCE" w:rsidRDefault="00D6554E" w:rsidP="00D6554E">
            <w:pPr>
              <w:widowControl w:val="0"/>
              <w:ind w:left="-110" w:right="-20" w:firstLine="0"/>
              <w:jc w:val="center"/>
              <w:rPr>
                <w:rFonts w:eastAsia="Aptos"/>
                <w:color w:val="0D0D0D" w:themeColor="text1" w:themeTint="F2"/>
              </w:rPr>
            </w:pPr>
            <w:r w:rsidRPr="00AD5DCE">
              <w:rPr>
                <w:rFonts w:eastAsia="Aptos"/>
                <w:color w:val="0D0D0D" w:themeColor="text1" w:themeTint="F2"/>
              </w:rPr>
              <w:t>OR</w:t>
            </w:r>
            <w:r w:rsidRPr="00AD5DCE">
              <w:rPr>
                <w:rFonts w:eastAsia="Aptos"/>
                <w:color w:val="0D0D0D" w:themeColor="text1" w:themeTint="F2"/>
                <w:vertAlign w:val="superscript"/>
              </w:rPr>
              <w:t>*</w:t>
            </w:r>
          </w:p>
          <w:p w14:paraId="22F3907F" w14:textId="77777777" w:rsidR="00D6554E" w:rsidRPr="00AD5DCE" w:rsidRDefault="00D6554E" w:rsidP="00D6554E">
            <w:pPr>
              <w:widowControl w:val="0"/>
              <w:ind w:left="-110" w:right="-20" w:firstLine="0"/>
              <w:jc w:val="center"/>
              <w:rPr>
                <w:rFonts w:eastAsia="Aptos"/>
                <w:color w:val="0D0D0D" w:themeColor="text1" w:themeTint="F2"/>
              </w:rPr>
            </w:pPr>
            <w:r w:rsidRPr="00AD5DCE">
              <w:rPr>
                <w:rFonts w:eastAsia="Aptos"/>
                <w:color w:val="0D0D0D" w:themeColor="text1" w:themeTint="F2"/>
              </w:rPr>
              <w:t>(95% CI)</w:t>
            </w:r>
          </w:p>
        </w:tc>
        <w:tc>
          <w:tcPr>
            <w:tcW w:w="540" w:type="dxa"/>
            <w:vAlign w:val="center"/>
          </w:tcPr>
          <w:p w14:paraId="74FB1B45" w14:textId="77777777" w:rsidR="00D6554E" w:rsidRPr="00AD5DCE" w:rsidRDefault="00D6554E" w:rsidP="00D6554E">
            <w:pPr>
              <w:widowControl w:val="0"/>
              <w:ind w:left="-110" w:right="-20" w:firstLine="0"/>
              <w:jc w:val="center"/>
              <w:rPr>
                <w:rFonts w:eastAsia="Aptos"/>
                <w:color w:val="0D0D0D" w:themeColor="text1" w:themeTint="F2"/>
              </w:rPr>
            </w:pPr>
            <w:r w:rsidRPr="00AD5DCE">
              <w:rPr>
                <w:rFonts w:eastAsia="Aptos"/>
                <w:i/>
                <w:iCs/>
                <w:color w:val="0D0D0D" w:themeColor="text1" w:themeTint="F2"/>
              </w:rPr>
              <w:t>p</w:t>
            </w:r>
          </w:p>
        </w:tc>
        <w:tc>
          <w:tcPr>
            <w:tcW w:w="1170" w:type="dxa"/>
            <w:vAlign w:val="center"/>
          </w:tcPr>
          <w:p w14:paraId="60521CAD" w14:textId="77777777" w:rsidR="00D6554E" w:rsidRPr="00AD5DCE" w:rsidRDefault="00D6554E" w:rsidP="00D6554E">
            <w:pPr>
              <w:widowControl w:val="0"/>
              <w:ind w:left="-110" w:right="-20" w:firstLine="0"/>
              <w:jc w:val="center"/>
              <w:rPr>
                <w:rFonts w:eastAsia="Aptos"/>
                <w:color w:val="0D0D0D" w:themeColor="text1" w:themeTint="F2"/>
              </w:rPr>
            </w:pPr>
            <w:r w:rsidRPr="00AD5DCE">
              <w:rPr>
                <w:rFonts w:eastAsia="Aptos"/>
                <w:color w:val="0D0D0D" w:themeColor="text1" w:themeTint="F2"/>
              </w:rPr>
              <w:t>OR</w:t>
            </w:r>
            <w:r w:rsidRPr="00AD5DCE">
              <w:rPr>
                <w:rFonts w:eastAsia="Aptos"/>
                <w:color w:val="0D0D0D" w:themeColor="text1" w:themeTint="F2"/>
                <w:vertAlign w:val="superscript"/>
              </w:rPr>
              <w:t>*</w:t>
            </w:r>
          </w:p>
          <w:p w14:paraId="4923075E" w14:textId="77777777" w:rsidR="00D6554E" w:rsidRPr="00AD5DCE" w:rsidRDefault="00D6554E" w:rsidP="00D6554E">
            <w:pPr>
              <w:widowControl w:val="0"/>
              <w:ind w:left="-110" w:right="-20" w:firstLine="0"/>
              <w:jc w:val="center"/>
              <w:rPr>
                <w:rFonts w:eastAsia="Aptos"/>
                <w:i/>
                <w:iCs/>
                <w:color w:val="0D0D0D" w:themeColor="text1" w:themeTint="F2"/>
              </w:rPr>
            </w:pPr>
            <w:r w:rsidRPr="00AD5DCE">
              <w:rPr>
                <w:rFonts w:eastAsia="Aptos"/>
                <w:color w:val="0D0D0D" w:themeColor="text1" w:themeTint="F2"/>
              </w:rPr>
              <w:t>(95% CI)</w:t>
            </w:r>
          </w:p>
        </w:tc>
        <w:tc>
          <w:tcPr>
            <w:tcW w:w="630" w:type="dxa"/>
            <w:vAlign w:val="center"/>
          </w:tcPr>
          <w:p w14:paraId="5FDE77EA" w14:textId="77777777" w:rsidR="00D6554E" w:rsidRPr="00AD5DCE" w:rsidRDefault="00D6554E" w:rsidP="00D6554E">
            <w:pPr>
              <w:widowControl w:val="0"/>
              <w:ind w:left="-110" w:right="-20" w:firstLine="0"/>
              <w:jc w:val="center"/>
              <w:rPr>
                <w:rFonts w:eastAsia="Aptos"/>
                <w:color w:val="0D0D0D" w:themeColor="text1" w:themeTint="F2"/>
              </w:rPr>
            </w:pPr>
            <w:r w:rsidRPr="00AD5DCE">
              <w:rPr>
                <w:rFonts w:eastAsia="Aptos"/>
                <w:color w:val="0D0D0D" w:themeColor="text1" w:themeTint="F2"/>
              </w:rPr>
              <w:t>p</w:t>
            </w:r>
          </w:p>
        </w:tc>
      </w:tr>
      <w:tr w:rsidR="00D6554E" w:rsidRPr="00AD5DCE" w14:paraId="377E2AEC" w14:textId="77777777" w:rsidTr="00D6554E">
        <w:trPr>
          <w:trHeight w:val="523"/>
        </w:trPr>
        <w:tc>
          <w:tcPr>
            <w:tcW w:w="900" w:type="dxa"/>
            <w:vAlign w:val="center"/>
          </w:tcPr>
          <w:p w14:paraId="66CBF100" w14:textId="77777777" w:rsidR="00D6554E" w:rsidRPr="00AD5DCE" w:rsidRDefault="00D6554E" w:rsidP="00D6554E">
            <w:pPr>
              <w:widowControl w:val="0"/>
              <w:ind w:left="-110" w:right="-20" w:firstLine="0"/>
              <w:jc w:val="left"/>
              <w:rPr>
                <w:rFonts w:eastAsia="Aptos"/>
                <w:color w:val="0D0D0D" w:themeColor="text1" w:themeTint="F2"/>
              </w:rPr>
            </w:pPr>
            <w:r w:rsidRPr="00AD5DCE">
              <w:rPr>
                <w:rFonts w:eastAsia="Aptos"/>
                <w:color w:val="0D0D0D" w:themeColor="text1" w:themeTint="F2"/>
              </w:rPr>
              <w:t>Yes (CT)</w:t>
            </w:r>
          </w:p>
        </w:tc>
        <w:tc>
          <w:tcPr>
            <w:tcW w:w="1170" w:type="dxa"/>
            <w:vAlign w:val="center"/>
          </w:tcPr>
          <w:p w14:paraId="38E9723B" w14:textId="77777777" w:rsidR="00D6554E" w:rsidRPr="00AD5DCE" w:rsidRDefault="00D6554E" w:rsidP="00D6554E">
            <w:pPr>
              <w:widowControl w:val="0"/>
              <w:ind w:left="-110" w:right="-110" w:firstLine="0"/>
              <w:jc w:val="center"/>
              <w:rPr>
                <w:rFonts w:eastAsia="Aptos"/>
                <w:color w:val="0D0D0D" w:themeColor="text1" w:themeTint="F2"/>
              </w:rPr>
            </w:pPr>
            <w:r w:rsidRPr="00AD5DCE">
              <w:rPr>
                <w:color w:val="0D0D0D" w:themeColor="text1" w:themeTint="F2"/>
              </w:rPr>
              <w:t>0.9 (0.5-1.8)</w:t>
            </w:r>
          </w:p>
        </w:tc>
        <w:tc>
          <w:tcPr>
            <w:tcW w:w="540" w:type="dxa"/>
            <w:vMerge w:val="restart"/>
            <w:vAlign w:val="center"/>
          </w:tcPr>
          <w:p w14:paraId="6ED0041E" w14:textId="77777777" w:rsidR="00D6554E" w:rsidRPr="00AD5DCE" w:rsidRDefault="00D6554E" w:rsidP="00D6554E">
            <w:pPr>
              <w:widowControl w:val="0"/>
              <w:ind w:left="-110" w:right="-110" w:firstLine="0"/>
              <w:jc w:val="center"/>
              <w:rPr>
                <w:rFonts w:eastAsia="Aptos"/>
                <w:color w:val="0D0D0D" w:themeColor="text1" w:themeTint="F2"/>
              </w:rPr>
            </w:pPr>
            <w:r w:rsidRPr="00AD5DCE">
              <w:rPr>
                <w:color w:val="0D0D0D" w:themeColor="text1" w:themeTint="F2"/>
              </w:rPr>
              <w:t>0.819</w:t>
            </w:r>
          </w:p>
        </w:tc>
        <w:tc>
          <w:tcPr>
            <w:tcW w:w="1260" w:type="dxa"/>
            <w:vAlign w:val="center"/>
          </w:tcPr>
          <w:p w14:paraId="3D3AE610" w14:textId="77777777" w:rsidR="00D6554E" w:rsidRPr="00AD5DCE" w:rsidRDefault="00D6554E" w:rsidP="00D6554E">
            <w:pPr>
              <w:widowControl w:val="0"/>
              <w:ind w:left="-110" w:right="-110" w:firstLine="0"/>
              <w:jc w:val="center"/>
              <w:rPr>
                <w:rFonts w:eastAsia="Aptos"/>
                <w:color w:val="0D0D0D" w:themeColor="text1" w:themeTint="F2"/>
              </w:rPr>
            </w:pPr>
            <w:r w:rsidRPr="00AD5DCE">
              <w:rPr>
                <w:color w:val="0D0D0D" w:themeColor="text1" w:themeTint="F2"/>
              </w:rPr>
              <w:t>0.4 (0.1-0.96)</w:t>
            </w:r>
          </w:p>
        </w:tc>
        <w:tc>
          <w:tcPr>
            <w:tcW w:w="540" w:type="dxa"/>
            <w:vMerge w:val="restart"/>
            <w:vAlign w:val="center"/>
          </w:tcPr>
          <w:p w14:paraId="1798D4B3" w14:textId="77777777" w:rsidR="00D6554E" w:rsidRPr="00AD5DCE" w:rsidRDefault="00D6554E" w:rsidP="00D6554E">
            <w:pPr>
              <w:widowControl w:val="0"/>
              <w:ind w:left="-110" w:right="-110" w:firstLine="0"/>
              <w:jc w:val="center"/>
              <w:rPr>
                <w:rFonts w:eastAsia="Aptos"/>
                <w:b/>
                <w:bCs/>
                <w:color w:val="0D0D0D" w:themeColor="text1" w:themeTint="F2"/>
              </w:rPr>
            </w:pPr>
            <w:r w:rsidRPr="00AD5DCE">
              <w:rPr>
                <w:b/>
                <w:bCs/>
                <w:color w:val="0D0D0D" w:themeColor="text1" w:themeTint="F2"/>
              </w:rPr>
              <w:t>0.041</w:t>
            </w:r>
          </w:p>
        </w:tc>
        <w:tc>
          <w:tcPr>
            <w:tcW w:w="1170" w:type="dxa"/>
            <w:vAlign w:val="center"/>
          </w:tcPr>
          <w:p w14:paraId="5D24852F" w14:textId="77777777" w:rsidR="00D6554E" w:rsidRPr="00AD5DCE" w:rsidRDefault="00D6554E" w:rsidP="00D6554E">
            <w:pPr>
              <w:widowControl w:val="0"/>
              <w:ind w:left="-110" w:right="-200" w:firstLine="0"/>
              <w:jc w:val="center"/>
              <w:rPr>
                <w:rFonts w:eastAsia="Aptos"/>
                <w:color w:val="0D0D0D" w:themeColor="text1" w:themeTint="F2"/>
              </w:rPr>
            </w:pPr>
            <w:r w:rsidRPr="00AD5DCE">
              <w:rPr>
                <w:color w:val="0D0D0D" w:themeColor="text1" w:themeTint="F2"/>
              </w:rPr>
              <w:t>0.3 (0.1-0.8)</w:t>
            </w:r>
          </w:p>
        </w:tc>
        <w:tc>
          <w:tcPr>
            <w:tcW w:w="630" w:type="dxa"/>
            <w:vMerge w:val="restart"/>
            <w:vAlign w:val="center"/>
          </w:tcPr>
          <w:p w14:paraId="5D1631B7" w14:textId="77777777" w:rsidR="00D6554E" w:rsidRPr="00AD5DCE" w:rsidRDefault="00D6554E" w:rsidP="00D6554E">
            <w:pPr>
              <w:widowControl w:val="0"/>
              <w:ind w:left="-110" w:right="-200" w:firstLine="0"/>
              <w:jc w:val="center"/>
              <w:rPr>
                <w:rFonts w:eastAsia="Aptos"/>
                <w:color w:val="0D0D0D" w:themeColor="text1" w:themeTint="F2"/>
              </w:rPr>
            </w:pPr>
            <w:r w:rsidRPr="00AD5DCE">
              <w:rPr>
                <w:b/>
                <w:bCs/>
                <w:color w:val="0D0D0D" w:themeColor="text1" w:themeTint="F2"/>
              </w:rPr>
              <w:t>0.013</w:t>
            </w:r>
          </w:p>
        </w:tc>
      </w:tr>
      <w:tr w:rsidR="00D6554E" w:rsidRPr="00AD5DCE" w14:paraId="5472DD4F" w14:textId="77777777" w:rsidTr="00D6554E">
        <w:trPr>
          <w:trHeight w:val="492"/>
        </w:trPr>
        <w:tc>
          <w:tcPr>
            <w:tcW w:w="900" w:type="dxa"/>
            <w:vAlign w:val="center"/>
          </w:tcPr>
          <w:p w14:paraId="7E4179B8" w14:textId="77777777" w:rsidR="00D6554E" w:rsidRPr="00AD5DCE" w:rsidRDefault="00D6554E" w:rsidP="00D6554E">
            <w:pPr>
              <w:widowControl w:val="0"/>
              <w:ind w:left="-110" w:right="-20" w:firstLine="0"/>
              <w:jc w:val="left"/>
              <w:rPr>
                <w:rFonts w:eastAsia="Aptos"/>
                <w:color w:val="0D0D0D" w:themeColor="text1" w:themeTint="F2"/>
              </w:rPr>
            </w:pPr>
            <w:r w:rsidRPr="00AD5DCE">
              <w:rPr>
                <w:rFonts w:eastAsia="Aptos"/>
                <w:color w:val="0D0D0D" w:themeColor="text1" w:themeTint="F2"/>
              </w:rPr>
              <w:t>No (CC)</w:t>
            </w:r>
          </w:p>
        </w:tc>
        <w:tc>
          <w:tcPr>
            <w:tcW w:w="1170" w:type="dxa"/>
            <w:vAlign w:val="center"/>
          </w:tcPr>
          <w:p w14:paraId="30E78DD1" w14:textId="38ECF0AE" w:rsidR="00D6554E" w:rsidRPr="00AD5DCE" w:rsidRDefault="00D6554E" w:rsidP="00D6554E">
            <w:pPr>
              <w:widowControl w:val="0"/>
              <w:ind w:left="-110" w:right="-110" w:firstLine="0"/>
              <w:jc w:val="center"/>
              <w:rPr>
                <w:rFonts w:eastAsia="Aptos"/>
                <w:color w:val="0D0D0D" w:themeColor="text1" w:themeTint="F2"/>
              </w:rPr>
            </w:pPr>
            <w:r w:rsidRPr="00AD5DCE">
              <w:rPr>
                <w:rFonts w:eastAsia="Aptos"/>
                <w:color w:val="0D0D0D" w:themeColor="text1" w:themeTint="F2"/>
              </w:rPr>
              <w:t>Reference</w:t>
            </w:r>
          </w:p>
        </w:tc>
        <w:tc>
          <w:tcPr>
            <w:tcW w:w="540" w:type="dxa"/>
            <w:vMerge/>
            <w:vAlign w:val="center"/>
          </w:tcPr>
          <w:p w14:paraId="3E385C13" w14:textId="77777777" w:rsidR="00D6554E" w:rsidRPr="00AD5DCE" w:rsidRDefault="00D6554E" w:rsidP="00D6554E">
            <w:pPr>
              <w:widowControl w:val="0"/>
              <w:ind w:left="-110" w:right="-20" w:firstLine="0"/>
              <w:jc w:val="center"/>
              <w:rPr>
                <w:rFonts w:eastAsia="Aptos"/>
                <w:b/>
                <w:bCs/>
                <w:color w:val="0D0D0D" w:themeColor="text1" w:themeTint="F2"/>
              </w:rPr>
            </w:pPr>
          </w:p>
        </w:tc>
        <w:tc>
          <w:tcPr>
            <w:tcW w:w="1260" w:type="dxa"/>
            <w:vAlign w:val="center"/>
          </w:tcPr>
          <w:p w14:paraId="133113E1" w14:textId="6ACDB91B" w:rsidR="00D6554E" w:rsidRPr="00AD5DCE" w:rsidRDefault="00D6554E" w:rsidP="00D6554E">
            <w:pPr>
              <w:widowControl w:val="0"/>
              <w:ind w:left="-110" w:right="-110" w:firstLine="0"/>
              <w:jc w:val="center"/>
              <w:rPr>
                <w:rFonts w:eastAsia="Aptos"/>
                <w:color w:val="0D0D0D" w:themeColor="text1" w:themeTint="F2"/>
              </w:rPr>
            </w:pPr>
            <w:r w:rsidRPr="00AD5DCE">
              <w:rPr>
                <w:rFonts w:eastAsia="Aptos"/>
                <w:color w:val="0D0D0D" w:themeColor="text1" w:themeTint="F2"/>
              </w:rPr>
              <w:t>Reference</w:t>
            </w:r>
          </w:p>
        </w:tc>
        <w:tc>
          <w:tcPr>
            <w:tcW w:w="540" w:type="dxa"/>
            <w:vMerge/>
            <w:vAlign w:val="center"/>
          </w:tcPr>
          <w:p w14:paraId="5CD46372" w14:textId="77777777" w:rsidR="00D6554E" w:rsidRPr="00AD5DCE" w:rsidRDefault="00D6554E" w:rsidP="00D6554E">
            <w:pPr>
              <w:widowControl w:val="0"/>
              <w:ind w:left="-110" w:right="-20" w:firstLine="0"/>
              <w:jc w:val="center"/>
              <w:rPr>
                <w:rFonts w:eastAsia="Aptos"/>
                <w:color w:val="0D0D0D" w:themeColor="text1" w:themeTint="F2"/>
              </w:rPr>
            </w:pPr>
          </w:p>
        </w:tc>
        <w:tc>
          <w:tcPr>
            <w:tcW w:w="1170" w:type="dxa"/>
            <w:vAlign w:val="center"/>
          </w:tcPr>
          <w:p w14:paraId="5AF7FBE8" w14:textId="38171065" w:rsidR="00D6554E" w:rsidRPr="00AD5DCE" w:rsidRDefault="00D6554E" w:rsidP="00D6554E">
            <w:pPr>
              <w:widowControl w:val="0"/>
              <w:ind w:left="-110" w:right="-200" w:firstLine="0"/>
              <w:jc w:val="center"/>
              <w:rPr>
                <w:rFonts w:eastAsia="Aptos"/>
                <w:color w:val="0D0D0D" w:themeColor="text1" w:themeTint="F2"/>
              </w:rPr>
            </w:pPr>
            <w:r w:rsidRPr="00AD5DCE">
              <w:rPr>
                <w:rFonts w:eastAsia="Aptos"/>
                <w:color w:val="0D0D0D" w:themeColor="text1" w:themeTint="F2"/>
              </w:rPr>
              <w:t>Reference</w:t>
            </w:r>
          </w:p>
        </w:tc>
        <w:tc>
          <w:tcPr>
            <w:tcW w:w="630" w:type="dxa"/>
            <w:vMerge/>
            <w:vAlign w:val="center"/>
          </w:tcPr>
          <w:p w14:paraId="7687D7E8" w14:textId="77777777" w:rsidR="00D6554E" w:rsidRPr="00AD5DCE" w:rsidRDefault="00D6554E" w:rsidP="00D6554E">
            <w:pPr>
              <w:widowControl w:val="0"/>
              <w:ind w:left="-110" w:right="-200" w:firstLine="0"/>
              <w:jc w:val="center"/>
              <w:rPr>
                <w:rFonts w:eastAsia="Aptos"/>
                <w:color w:val="0D0D0D" w:themeColor="text1" w:themeTint="F2"/>
              </w:rPr>
            </w:pPr>
          </w:p>
        </w:tc>
      </w:tr>
    </w:tbl>
    <w:p w14:paraId="0D5E613C" w14:textId="57123E89" w:rsidR="00556026" w:rsidRPr="00AD5DCE" w:rsidRDefault="00D6554E" w:rsidP="00AD5DCE">
      <w:pPr>
        <w:widowControl w:val="0"/>
        <w:spacing w:line="340" w:lineRule="exact"/>
        <w:ind w:firstLine="720"/>
        <w:jc w:val="left"/>
        <w:rPr>
          <w:color w:val="0D0D0D" w:themeColor="text1" w:themeTint="F2"/>
        </w:rPr>
      </w:pPr>
      <w:r w:rsidRPr="00AD5DCE">
        <w:rPr>
          <w:rFonts w:eastAsia="Aptos"/>
          <w:i/>
          <w:iCs/>
          <w:color w:val="0D0D0D" w:themeColor="text1" w:themeTint="F2"/>
        </w:rPr>
        <w:lastRenderedPageBreak/>
        <w:t>OR* adjusted for age and sex</w:t>
      </w:r>
      <w:r w:rsidRPr="00AD5DCE">
        <w:rPr>
          <w:rFonts w:eastAsia="Aptos"/>
          <w:i/>
          <w:iCs/>
          <w:color w:val="0D0D0D" w:themeColor="text1" w:themeTint="F2"/>
          <w:lang w:val="vi-VN"/>
        </w:rPr>
        <w:t xml:space="preserve">; </w:t>
      </w:r>
      <w:r w:rsidR="00556026" w:rsidRPr="00AD5DCE">
        <w:rPr>
          <w:rFonts w:eastAsia="Aptos"/>
          <w:i/>
          <w:iCs/>
          <w:color w:val="0D0D0D" w:themeColor="text1" w:themeTint="F2"/>
          <w:vertAlign w:val="superscript"/>
        </w:rPr>
        <w:t xml:space="preserve">0 </w:t>
      </w:r>
      <w:r w:rsidRPr="00AD5DCE">
        <w:rPr>
          <w:rFonts w:eastAsia="Aptos"/>
          <w:i/>
          <w:iCs/>
          <w:color w:val="0D0D0D" w:themeColor="text1" w:themeTint="F2"/>
        </w:rPr>
        <w:t>Reference</w:t>
      </w:r>
      <w:r w:rsidR="00556026" w:rsidRPr="00AD5DCE">
        <w:rPr>
          <w:rFonts w:eastAsia="Aptos"/>
          <w:i/>
          <w:iCs/>
          <w:color w:val="0D0D0D" w:themeColor="text1" w:themeTint="F2"/>
        </w:rPr>
        <w:t xml:space="preserve">; </w:t>
      </w:r>
    </w:p>
    <w:p w14:paraId="7356DB00" w14:textId="09F27FD9" w:rsidR="00D6554E" w:rsidRPr="00AD5DCE" w:rsidRDefault="00556026" w:rsidP="00496AF8">
      <w:pPr>
        <w:widowControl w:val="0"/>
        <w:spacing w:line="340" w:lineRule="exact"/>
        <w:ind w:firstLine="720"/>
        <w:rPr>
          <w:b/>
          <w:bCs/>
          <w:color w:val="0D0D0D" w:themeColor="text1" w:themeTint="F2"/>
        </w:rPr>
      </w:pPr>
      <w:r w:rsidRPr="00AD5DCE">
        <w:rPr>
          <w:color w:val="0D0D0D" w:themeColor="text1" w:themeTint="F2"/>
        </w:rPr>
        <w:t xml:space="preserve"> </w:t>
      </w:r>
      <w:bookmarkStart w:id="36" w:name="_Toc207715195"/>
      <w:bookmarkStart w:id="37" w:name="_Toc207715324"/>
      <w:bookmarkStart w:id="38" w:name="_Ref210993464"/>
      <w:r w:rsidR="00D6554E" w:rsidRPr="00AD5DCE">
        <w:rPr>
          <w:color w:val="0D0D0D" w:themeColor="text1" w:themeTint="F2"/>
        </w:rPr>
        <w:t xml:space="preserve">Carriers of the CT genotype had a 60% reduced risk of </w:t>
      </w:r>
      <w:r w:rsidR="0049643F">
        <w:rPr>
          <w:color w:val="0D0D0D" w:themeColor="text1" w:themeTint="F2"/>
        </w:rPr>
        <w:t>LC</w:t>
      </w:r>
      <w:r w:rsidR="00D6554E" w:rsidRPr="00AD5DCE">
        <w:rPr>
          <w:color w:val="0D0D0D" w:themeColor="text1" w:themeTint="F2"/>
        </w:rPr>
        <w:t xml:space="preserve"> (OR=0.4; 95% CI: 0.1–0.96) and a 70% reduced risk of </w:t>
      </w:r>
      <w:r w:rsidR="00374D18">
        <w:rPr>
          <w:color w:val="0D0D0D" w:themeColor="text1" w:themeTint="F2"/>
        </w:rPr>
        <w:t>CHB</w:t>
      </w:r>
      <w:r w:rsidR="00D6554E" w:rsidRPr="00AD5DCE">
        <w:rPr>
          <w:color w:val="0D0D0D" w:themeColor="text1" w:themeTint="F2"/>
        </w:rPr>
        <w:t xml:space="preserve"> (OR=0.3; 95% CI: 0.1–0.8) compared with CC genotype carriers (p&lt;0.05).</w:t>
      </w:r>
      <w:bookmarkEnd w:id="36"/>
      <w:bookmarkEnd w:id="37"/>
      <w:bookmarkEnd w:id="38"/>
    </w:p>
    <w:p w14:paraId="33E1FD07" w14:textId="2498FD98" w:rsidR="00556026" w:rsidRPr="00AD5DCE" w:rsidRDefault="00D6554E" w:rsidP="00556026">
      <w:pPr>
        <w:widowControl w:val="0"/>
        <w:ind w:firstLine="720"/>
        <w:jc w:val="center"/>
        <w:rPr>
          <w:b/>
          <w:bCs/>
          <w:color w:val="0D0D0D" w:themeColor="text1" w:themeTint="F2"/>
          <w:lang w:val="vi-VN"/>
        </w:rPr>
      </w:pPr>
      <w:r w:rsidRPr="00AD5DCE">
        <w:rPr>
          <w:b/>
          <w:bCs/>
          <w:color w:val="0D0D0D" w:themeColor="text1" w:themeTint="F2"/>
        </w:rPr>
        <w:t>Table 3.</w:t>
      </w:r>
      <w:r w:rsidR="00EF225C">
        <w:rPr>
          <w:b/>
          <w:bCs/>
          <w:color w:val="0D0D0D" w:themeColor="text1" w:themeTint="F2"/>
        </w:rPr>
        <w:t>10</w:t>
      </w:r>
      <w:r w:rsidRPr="00AD5DCE">
        <w:rPr>
          <w:b/>
          <w:bCs/>
          <w:color w:val="0D0D0D" w:themeColor="text1" w:themeTint="F2"/>
        </w:rPr>
        <w:t>. Multivariate Logistic Regression Model for HBsAg-Positive HCC</w:t>
      </w:r>
    </w:p>
    <w:tbl>
      <w:tblPr>
        <w:tblpPr w:leftFromText="180" w:rightFromText="180" w:vertAnchor="page" w:horzAnchor="margin" w:tblpY="3208"/>
        <w:tblW w:w="6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83"/>
        <w:gridCol w:w="1897"/>
        <w:gridCol w:w="1266"/>
        <w:gridCol w:w="1175"/>
        <w:gridCol w:w="701"/>
        <w:gridCol w:w="14"/>
      </w:tblGrid>
      <w:tr w:rsidR="00060CDF" w:rsidRPr="00AD5DCE" w14:paraId="6B0A94F6" w14:textId="77777777" w:rsidTr="00060CDF">
        <w:trPr>
          <w:trHeight w:val="621"/>
        </w:trPr>
        <w:tc>
          <w:tcPr>
            <w:tcW w:w="2975" w:type="dxa"/>
            <w:gridSpan w:val="3"/>
            <w:vMerge w:val="restart"/>
            <w:vAlign w:val="center"/>
          </w:tcPr>
          <w:p w14:paraId="4B45FE69" w14:textId="77777777" w:rsidR="00060CDF" w:rsidRPr="00AD5DCE" w:rsidRDefault="00060CDF" w:rsidP="00060CDF">
            <w:pPr>
              <w:spacing w:line="240" w:lineRule="auto"/>
              <w:ind w:left="-110" w:right="-130" w:firstLine="90"/>
              <w:jc w:val="center"/>
              <w:rPr>
                <w:rFonts w:eastAsia="Calibri"/>
                <w:b/>
                <w:color w:val="0D0D0D" w:themeColor="text1" w:themeTint="F2"/>
              </w:rPr>
            </w:pPr>
            <w:r w:rsidRPr="00AD5DCE">
              <w:rPr>
                <w:rFonts w:eastAsia="Calibri"/>
                <w:b/>
                <w:color w:val="0D0D0D" w:themeColor="text1" w:themeTint="F2"/>
              </w:rPr>
              <w:t>Factors</w:t>
            </w:r>
          </w:p>
          <w:p w14:paraId="573DE366" w14:textId="77777777" w:rsidR="00060CDF" w:rsidRPr="00AD5DCE" w:rsidRDefault="00060CDF" w:rsidP="00060CDF">
            <w:pPr>
              <w:spacing w:line="240" w:lineRule="auto"/>
              <w:ind w:left="-110" w:right="-130" w:firstLine="90"/>
              <w:jc w:val="center"/>
              <w:rPr>
                <w:rFonts w:eastAsia="Calibri"/>
                <w:b/>
                <w:color w:val="0D0D0D" w:themeColor="text1" w:themeTint="F2"/>
                <w:lang w:val="vi-VN"/>
              </w:rPr>
            </w:pPr>
            <w:r w:rsidRPr="00AD5DCE">
              <w:rPr>
                <w:rFonts w:eastAsia="Calibri"/>
                <w:b/>
                <w:color w:val="0D0D0D" w:themeColor="text1" w:themeTint="F2"/>
              </w:rPr>
              <w:t>(n=273)</w:t>
            </w:r>
          </w:p>
          <w:p w14:paraId="7C49B769" w14:textId="77777777" w:rsidR="00060CDF" w:rsidRPr="00AD5DCE" w:rsidRDefault="00060CDF" w:rsidP="00060CDF">
            <w:pPr>
              <w:spacing w:line="240" w:lineRule="auto"/>
              <w:ind w:left="-110" w:right="-130" w:firstLine="90"/>
              <w:jc w:val="center"/>
              <w:rPr>
                <w:rFonts w:eastAsia="Calibri"/>
                <w:b/>
                <w:color w:val="0D0D0D" w:themeColor="text1" w:themeTint="F2"/>
                <w:lang w:val="vi-VN"/>
              </w:rPr>
            </w:pPr>
            <w:r w:rsidRPr="00AD5DCE">
              <w:rPr>
                <w:rFonts w:eastAsia="Calibri"/>
                <w:bCs/>
                <w:color w:val="0D0D0D" w:themeColor="text1" w:themeTint="F2"/>
              </w:rPr>
              <w:t>OR (95% CI)</w:t>
            </w:r>
          </w:p>
        </w:tc>
        <w:tc>
          <w:tcPr>
            <w:tcW w:w="2441" w:type="dxa"/>
            <w:gridSpan w:val="2"/>
            <w:vAlign w:val="center"/>
          </w:tcPr>
          <w:p w14:paraId="330E44E9" w14:textId="77777777" w:rsidR="00060CDF" w:rsidRPr="00AD5DCE" w:rsidRDefault="00060CDF" w:rsidP="00060CDF">
            <w:pPr>
              <w:widowControl w:val="0"/>
              <w:autoSpaceDE w:val="0"/>
              <w:autoSpaceDN w:val="0"/>
              <w:spacing w:line="240" w:lineRule="auto"/>
              <w:ind w:left="-110" w:right="-130" w:firstLine="90"/>
              <w:jc w:val="center"/>
              <w:rPr>
                <w:rFonts w:eastAsia="Times New Roman"/>
                <w:b/>
                <w:bCs/>
                <w:color w:val="0D0D0D" w:themeColor="text1" w:themeTint="F2"/>
              </w:rPr>
            </w:pPr>
            <w:r w:rsidRPr="00AD5DCE">
              <w:rPr>
                <w:rFonts w:eastAsia="Times New Roman"/>
                <w:b/>
                <w:bCs/>
                <w:color w:val="0D0D0D" w:themeColor="text1" w:themeTint="F2"/>
              </w:rPr>
              <w:t xml:space="preserve">Chronic liver diseases </w:t>
            </w:r>
            <w:r w:rsidRPr="00AD5DCE">
              <w:rPr>
                <w:b/>
                <w:bCs/>
                <w:color w:val="0D0D0D" w:themeColor="text1" w:themeTint="F2"/>
              </w:rPr>
              <w:t>HBsAg (+)</w:t>
            </w:r>
          </w:p>
        </w:tc>
        <w:tc>
          <w:tcPr>
            <w:tcW w:w="715" w:type="dxa"/>
            <w:gridSpan w:val="2"/>
            <w:vMerge w:val="restart"/>
            <w:vAlign w:val="center"/>
          </w:tcPr>
          <w:p w14:paraId="45766B99" w14:textId="77777777" w:rsidR="00060CDF" w:rsidRPr="00AD5DCE" w:rsidRDefault="00060CDF" w:rsidP="00060CDF">
            <w:pPr>
              <w:spacing w:line="240" w:lineRule="auto"/>
              <w:ind w:left="-110" w:right="-130" w:firstLine="90"/>
              <w:jc w:val="center"/>
              <w:rPr>
                <w:rFonts w:eastAsia="Calibri"/>
                <w:b/>
                <w:color w:val="0D0D0D" w:themeColor="text1" w:themeTint="F2"/>
              </w:rPr>
            </w:pPr>
            <w:r w:rsidRPr="00AD5DCE">
              <w:rPr>
                <w:rFonts w:eastAsia="Calibri"/>
                <w:b/>
                <w:color w:val="0D0D0D" w:themeColor="text1" w:themeTint="F2"/>
              </w:rPr>
              <w:t>p</w:t>
            </w:r>
          </w:p>
        </w:tc>
      </w:tr>
      <w:tr w:rsidR="00060CDF" w:rsidRPr="00AD5DCE" w14:paraId="4DF1DC0B" w14:textId="77777777" w:rsidTr="00060CDF">
        <w:trPr>
          <w:trHeight w:val="621"/>
        </w:trPr>
        <w:tc>
          <w:tcPr>
            <w:tcW w:w="2975" w:type="dxa"/>
            <w:gridSpan w:val="3"/>
            <w:vMerge/>
            <w:vAlign w:val="center"/>
          </w:tcPr>
          <w:p w14:paraId="10018D0B" w14:textId="77777777" w:rsidR="00060CDF" w:rsidRPr="00AD5DCE" w:rsidRDefault="00060CDF" w:rsidP="00060CDF">
            <w:pPr>
              <w:spacing w:line="240" w:lineRule="auto"/>
              <w:ind w:left="-110" w:right="-130" w:firstLine="90"/>
              <w:jc w:val="center"/>
              <w:rPr>
                <w:rFonts w:eastAsia="Calibri"/>
                <w:b/>
                <w:color w:val="0D0D0D" w:themeColor="text1" w:themeTint="F2"/>
              </w:rPr>
            </w:pPr>
          </w:p>
        </w:tc>
        <w:tc>
          <w:tcPr>
            <w:tcW w:w="1266" w:type="dxa"/>
            <w:vAlign w:val="center"/>
          </w:tcPr>
          <w:p w14:paraId="268C9339" w14:textId="77777777" w:rsidR="00060CDF" w:rsidRPr="00AD5DCE" w:rsidRDefault="00060CDF" w:rsidP="00060CDF">
            <w:pPr>
              <w:widowControl w:val="0"/>
              <w:autoSpaceDE w:val="0"/>
              <w:autoSpaceDN w:val="0"/>
              <w:spacing w:line="240" w:lineRule="auto"/>
              <w:ind w:left="-110" w:right="-130" w:firstLine="0"/>
              <w:jc w:val="center"/>
              <w:rPr>
                <w:bCs/>
                <w:color w:val="0D0D0D" w:themeColor="text1" w:themeTint="F2"/>
              </w:rPr>
            </w:pPr>
            <w:r w:rsidRPr="00AD5DCE">
              <w:rPr>
                <w:bCs/>
                <w:color w:val="0D0D0D" w:themeColor="text1" w:themeTint="F2"/>
              </w:rPr>
              <w:t>HCC</w:t>
            </w:r>
          </w:p>
          <w:p w14:paraId="79F8BC55" w14:textId="77777777" w:rsidR="00060CDF" w:rsidRPr="00AD5DCE" w:rsidRDefault="00060CDF" w:rsidP="00060CDF">
            <w:pPr>
              <w:widowControl w:val="0"/>
              <w:autoSpaceDE w:val="0"/>
              <w:autoSpaceDN w:val="0"/>
              <w:spacing w:line="240" w:lineRule="auto"/>
              <w:ind w:left="-110" w:right="-130" w:firstLine="0"/>
              <w:jc w:val="center"/>
              <w:rPr>
                <w:rFonts w:eastAsia="Times New Roman"/>
                <w:bCs/>
                <w:color w:val="0D0D0D" w:themeColor="text1" w:themeTint="F2"/>
              </w:rPr>
            </w:pPr>
            <w:r w:rsidRPr="00AD5DCE">
              <w:rPr>
                <w:rFonts w:eastAsia="Times New Roman"/>
                <w:bCs/>
                <w:color w:val="0D0D0D" w:themeColor="text1" w:themeTint="F2"/>
              </w:rPr>
              <w:t>(n=90)</w:t>
            </w:r>
          </w:p>
        </w:tc>
        <w:tc>
          <w:tcPr>
            <w:tcW w:w="1175" w:type="dxa"/>
            <w:vAlign w:val="center"/>
          </w:tcPr>
          <w:p w14:paraId="565E05C9" w14:textId="77777777" w:rsidR="00060CDF" w:rsidRPr="00AD5DCE" w:rsidRDefault="00060CDF" w:rsidP="00060CDF">
            <w:pPr>
              <w:spacing w:line="240" w:lineRule="auto"/>
              <w:ind w:left="-110" w:right="-130" w:firstLine="90"/>
              <w:jc w:val="center"/>
              <w:rPr>
                <w:bCs/>
                <w:color w:val="0D0D0D" w:themeColor="text1" w:themeTint="F2"/>
              </w:rPr>
            </w:pPr>
            <w:r w:rsidRPr="00AD5DCE">
              <w:rPr>
                <w:bCs/>
                <w:color w:val="0D0D0D" w:themeColor="text1" w:themeTint="F2"/>
              </w:rPr>
              <w:t xml:space="preserve">No HCC* </w:t>
            </w:r>
            <w:r w:rsidRPr="00AD5DCE">
              <w:rPr>
                <w:rFonts w:eastAsia="Times New Roman"/>
                <w:bCs/>
                <w:color w:val="0D0D0D" w:themeColor="text1" w:themeTint="F2"/>
              </w:rPr>
              <w:t>(n=183)</w:t>
            </w:r>
          </w:p>
        </w:tc>
        <w:tc>
          <w:tcPr>
            <w:tcW w:w="715" w:type="dxa"/>
            <w:gridSpan w:val="2"/>
            <w:vMerge/>
            <w:vAlign w:val="center"/>
          </w:tcPr>
          <w:p w14:paraId="7010C210" w14:textId="77777777" w:rsidR="00060CDF" w:rsidRPr="00AD5DCE" w:rsidRDefault="00060CDF" w:rsidP="00060CDF">
            <w:pPr>
              <w:spacing w:line="240" w:lineRule="auto"/>
              <w:ind w:left="-110" w:right="-130" w:firstLine="90"/>
              <w:jc w:val="center"/>
              <w:rPr>
                <w:rFonts w:eastAsia="Calibri"/>
                <w:b/>
                <w:color w:val="0D0D0D" w:themeColor="text1" w:themeTint="F2"/>
              </w:rPr>
            </w:pPr>
          </w:p>
        </w:tc>
      </w:tr>
      <w:tr w:rsidR="00060CDF" w:rsidRPr="00AD5DCE" w14:paraId="7D9BFD46" w14:textId="77777777" w:rsidTr="00060CDF">
        <w:trPr>
          <w:gridAfter w:val="1"/>
          <w:wAfter w:w="14" w:type="dxa"/>
          <w:trHeight w:val="324"/>
        </w:trPr>
        <w:tc>
          <w:tcPr>
            <w:tcW w:w="995" w:type="dxa"/>
            <w:vMerge w:val="restart"/>
            <w:vAlign w:val="center"/>
          </w:tcPr>
          <w:p w14:paraId="52937221" w14:textId="77777777" w:rsidR="00060CDF" w:rsidRPr="00AD5DCE" w:rsidRDefault="00060CDF" w:rsidP="00060CDF">
            <w:pPr>
              <w:ind w:left="-110" w:right="-130" w:firstLine="90"/>
              <w:jc w:val="left"/>
              <w:rPr>
                <w:rFonts w:eastAsia="Calibri"/>
                <w:bCs/>
                <w:color w:val="0D0D0D" w:themeColor="text1" w:themeTint="F2"/>
                <w:lang w:val="vi-VN"/>
              </w:rPr>
            </w:pPr>
            <w:r w:rsidRPr="00AD5DCE">
              <w:rPr>
                <w:color w:val="0D0D0D" w:themeColor="text1" w:themeTint="F2"/>
              </w:rPr>
              <w:t xml:space="preserve"> Age</w:t>
            </w:r>
            <w:r w:rsidRPr="00AD5DCE">
              <w:rPr>
                <w:color w:val="0D0D0D" w:themeColor="text1" w:themeTint="F2"/>
                <w:lang w:val="vi-VN"/>
              </w:rPr>
              <w:t xml:space="preserve"> groups</w:t>
            </w:r>
          </w:p>
        </w:tc>
        <w:tc>
          <w:tcPr>
            <w:tcW w:w="1980" w:type="dxa"/>
            <w:gridSpan w:val="2"/>
            <w:vAlign w:val="center"/>
          </w:tcPr>
          <w:p w14:paraId="7D8E378C" w14:textId="77777777" w:rsidR="00060CDF" w:rsidRPr="00AD5DCE" w:rsidRDefault="00060CDF" w:rsidP="00060CDF">
            <w:pPr>
              <w:ind w:left="-110" w:right="-130" w:firstLine="90"/>
              <w:jc w:val="left"/>
              <w:rPr>
                <w:rFonts w:eastAsia="Calibri"/>
                <w:bCs/>
                <w:color w:val="0D0D0D" w:themeColor="text1" w:themeTint="F2"/>
              </w:rPr>
            </w:pPr>
            <w:r w:rsidRPr="00AD5DCE">
              <w:rPr>
                <w:rFonts w:eastAsia="Calibri"/>
                <w:bCs/>
                <w:color w:val="0D0D0D" w:themeColor="text1" w:themeTint="F2"/>
              </w:rPr>
              <w:t>≥ 60 (≤ 40 years*)</w:t>
            </w:r>
          </w:p>
        </w:tc>
        <w:tc>
          <w:tcPr>
            <w:tcW w:w="2441" w:type="dxa"/>
            <w:gridSpan w:val="2"/>
            <w:vAlign w:val="center"/>
          </w:tcPr>
          <w:p w14:paraId="53F5F4B6" w14:textId="77777777" w:rsidR="00060CDF" w:rsidRPr="00AD5DCE" w:rsidRDefault="00060CDF" w:rsidP="00060CDF">
            <w:pPr>
              <w:ind w:left="-110" w:right="-130" w:firstLine="0"/>
              <w:jc w:val="center"/>
              <w:rPr>
                <w:rFonts w:eastAsia="Calibri"/>
                <w:bCs/>
                <w:color w:val="0D0D0D" w:themeColor="text1" w:themeTint="F2"/>
              </w:rPr>
            </w:pPr>
            <w:r w:rsidRPr="00AD5DCE">
              <w:rPr>
                <w:color w:val="0D0D0D" w:themeColor="text1" w:themeTint="F2"/>
              </w:rPr>
              <w:t>16.5 (5.0-54.4)</w:t>
            </w:r>
          </w:p>
        </w:tc>
        <w:tc>
          <w:tcPr>
            <w:tcW w:w="701" w:type="dxa"/>
            <w:vAlign w:val="center"/>
          </w:tcPr>
          <w:p w14:paraId="1DB9D7E4" w14:textId="77777777" w:rsidR="00060CDF" w:rsidRPr="00AD5DCE" w:rsidRDefault="00060CDF" w:rsidP="00060CDF">
            <w:pPr>
              <w:ind w:left="-110" w:right="-130" w:firstLine="0"/>
              <w:jc w:val="center"/>
              <w:rPr>
                <w:rFonts w:eastAsia="Calibri"/>
                <w:b/>
                <w:bCs/>
                <w:color w:val="0D0D0D" w:themeColor="text1" w:themeTint="F2"/>
              </w:rPr>
            </w:pPr>
            <w:r w:rsidRPr="00AD5DCE">
              <w:rPr>
                <w:b/>
                <w:bCs/>
                <w:color w:val="0D0D0D" w:themeColor="text1" w:themeTint="F2"/>
              </w:rPr>
              <w:t>&lt;0.001</w:t>
            </w:r>
          </w:p>
        </w:tc>
      </w:tr>
      <w:tr w:rsidR="00060CDF" w:rsidRPr="00AD5DCE" w14:paraId="7358F446" w14:textId="77777777" w:rsidTr="00060CDF">
        <w:trPr>
          <w:gridAfter w:val="1"/>
          <w:wAfter w:w="14" w:type="dxa"/>
          <w:trHeight w:val="324"/>
        </w:trPr>
        <w:tc>
          <w:tcPr>
            <w:tcW w:w="995" w:type="dxa"/>
            <w:vMerge/>
            <w:vAlign w:val="center"/>
          </w:tcPr>
          <w:p w14:paraId="64505027" w14:textId="77777777" w:rsidR="00060CDF" w:rsidRPr="00AD5DCE" w:rsidRDefault="00060CDF" w:rsidP="00060CDF">
            <w:pPr>
              <w:ind w:left="-110" w:right="-130" w:firstLine="90"/>
              <w:jc w:val="left"/>
              <w:rPr>
                <w:color w:val="0D0D0D" w:themeColor="text1" w:themeTint="F2"/>
              </w:rPr>
            </w:pPr>
          </w:p>
        </w:tc>
        <w:tc>
          <w:tcPr>
            <w:tcW w:w="1980" w:type="dxa"/>
            <w:gridSpan w:val="2"/>
            <w:vAlign w:val="center"/>
          </w:tcPr>
          <w:p w14:paraId="781FCD65" w14:textId="77777777" w:rsidR="00060CDF" w:rsidRPr="00AD5DCE" w:rsidRDefault="00060CDF" w:rsidP="00060CDF">
            <w:pPr>
              <w:ind w:left="-110" w:right="-130" w:firstLine="90"/>
              <w:jc w:val="left"/>
              <w:rPr>
                <w:color w:val="0D0D0D" w:themeColor="text1" w:themeTint="F2"/>
              </w:rPr>
            </w:pPr>
            <w:r w:rsidRPr="00AD5DCE">
              <w:rPr>
                <w:rFonts w:eastAsia="Calibri"/>
                <w:bCs/>
                <w:color w:val="0D0D0D" w:themeColor="text1" w:themeTint="F2"/>
              </w:rPr>
              <w:t>41-59 (≤ 40  years *)</w:t>
            </w:r>
          </w:p>
        </w:tc>
        <w:tc>
          <w:tcPr>
            <w:tcW w:w="2441" w:type="dxa"/>
            <w:gridSpan w:val="2"/>
            <w:vAlign w:val="center"/>
          </w:tcPr>
          <w:p w14:paraId="771784BD" w14:textId="77777777" w:rsidR="00060CDF" w:rsidRPr="00AD5DCE" w:rsidRDefault="00060CDF" w:rsidP="00060CDF">
            <w:pPr>
              <w:ind w:left="-110" w:right="-130" w:firstLine="0"/>
              <w:jc w:val="center"/>
              <w:rPr>
                <w:color w:val="0D0D0D" w:themeColor="text1" w:themeTint="F2"/>
              </w:rPr>
            </w:pPr>
            <w:r w:rsidRPr="00AD5DCE">
              <w:rPr>
                <w:color w:val="0D0D0D" w:themeColor="text1" w:themeTint="F2"/>
              </w:rPr>
              <w:t>2.4 (0.7-8.0)</w:t>
            </w:r>
          </w:p>
        </w:tc>
        <w:tc>
          <w:tcPr>
            <w:tcW w:w="701" w:type="dxa"/>
            <w:vAlign w:val="center"/>
          </w:tcPr>
          <w:p w14:paraId="5C4C39F9" w14:textId="77777777" w:rsidR="00060CDF" w:rsidRPr="00AD5DCE" w:rsidRDefault="00060CDF" w:rsidP="00060CDF">
            <w:pPr>
              <w:ind w:left="-110" w:right="-130" w:firstLine="0"/>
              <w:jc w:val="center"/>
              <w:rPr>
                <w:b/>
                <w:bCs/>
                <w:color w:val="0D0D0D" w:themeColor="text1" w:themeTint="F2"/>
              </w:rPr>
            </w:pPr>
            <w:r w:rsidRPr="00AD5DCE">
              <w:rPr>
                <w:color w:val="0D0D0D" w:themeColor="text1" w:themeTint="F2"/>
              </w:rPr>
              <w:t>0.158</w:t>
            </w:r>
          </w:p>
        </w:tc>
      </w:tr>
      <w:tr w:rsidR="00060CDF" w:rsidRPr="00AD5DCE" w14:paraId="59B292D8" w14:textId="77777777" w:rsidTr="00060CDF">
        <w:trPr>
          <w:gridAfter w:val="1"/>
          <w:wAfter w:w="14" w:type="dxa"/>
          <w:trHeight w:val="324"/>
        </w:trPr>
        <w:tc>
          <w:tcPr>
            <w:tcW w:w="2975" w:type="dxa"/>
            <w:gridSpan w:val="3"/>
            <w:vAlign w:val="center"/>
          </w:tcPr>
          <w:p w14:paraId="36A01412" w14:textId="77777777" w:rsidR="00060CDF" w:rsidRPr="00AD5DCE" w:rsidRDefault="00060CDF" w:rsidP="00060CDF">
            <w:pPr>
              <w:ind w:left="-110" w:right="-130" w:firstLine="90"/>
              <w:jc w:val="left"/>
              <w:rPr>
                <w:rFonts w:eastAsia="Calibri"/>
                <w:bCs/>
                <w:color w:val="0D0D0D" w:themeColor="text1" w:themeTint="F2"/>
              </w:rPr>
            </w:pPr>
            <w:r w:rsidRPr="00AD5DCE">
              <w:rPr>
                <w:color w:val="0D0D0D" w:themeColor="text1" w:themeTint="F2"/>
              </w:rPr>
              <w:t>Gender (Female/Male*)</w:t>
            </w:r>
          </w:p>
        </w:tc>
        <w:tc>
          <w:tcPr>
            <w:tcW w:w="2441" w:type="dxa"/>
            <w:gridSpan w:val="2"/>
            <w:vAlign w:val="center"/>
          </w:tcPr>
          <w:p w14:paraId="362ECD15" w14:textId="77777777" w:rsidR="00060CDF" w:rsidRPr="00AD5DCE" w:rsidRDefault="00060CDF" w:rsidP="00060CDF">
            <w:pPr>
              <w:ind w:left="-110" w:right="-130" w:firstLine="0"/>
              <w:jc w:val="center"/>
              <w:rPr>
                <w:rFonts w:eastAsia="Calibri"/>
                <w:bCs/>
                <w:color w:val="0D0D0D" w:themeColor="text1" w:themeTint="F2"/>
              </w:rPr>
            </w:pPr>
            <w:r w:rsidRPr="00AD5DCE">
              <w:rPr>
                <w:color w:val="0D0D0D" w:themeColor="text1" w:themeTint="F2"/>
              </w:rPr>
              <w:t>0.28 (0.1-0.7)</w:t>
            </w:r>
          </w:p>
        </w:tc>
        <w:tc>
          <w:tcPr>
            <w:tcW w:w="701" w:type="dxa"/>
            <w:vAlign w:val="center"/>
          </w:tcPr>
          <w:p w14:paraId="3C7E709A" w14:textId="77777777" w:rsidR="00060CDF" w:rsidRPr="00AD5DCE" w:rsidRDefault="00060CDF" w:rsidP="00060CDF">
            <w:pPr>
              <w:ind w:left="-110" w:right="-130" w:firstLine="0"/>
              <w:jc w:val="center"/>
              <w:rPr>
                <w:rFonts w:eastAsia="Calibri"/>
                <w:b/>
                <w:bCs/>
                <w:color w:val="0D0D0D" w:themeColor="text1" w:themeTint="F2"/>
              </w:rPr>
            </w:pPr>
            <w:r w:rsidRPr="00AD5DCE">
              <w:rPr>
                <w:b/>
                <w:bCs/>
                <w:color w:val="0D0D0D" w:themeColor="text1" w:themeTint="F2"/>
              </w:rPr>
              <w:t>0.011</w:t>
            </w:r>
          </w:p>
        </w:tc>
      </w:tr>
      <w:tr w:rsidR="00060CDF" w:rsidRPr="00AD5DCE" w14:paraId="020F2A54" w14:textId="77777777" w:rsidTr="00060CDF">
        <w:trPr>
          <w:gridAfter w:val="1"/>
          <w:wAfter w:w="14" w:type="dxa"/>
          <w:trHeight w:val="324"/>
        </w:trPr>
        <w:tc>
          <w:tcPr>
            <w:tcW w:w="1078" w:type="dxa"/>
            <w:gridSpan w:val="2"/>
            <w:vMerge w:val="restart"/>
            <w:vAlign w:val="center"/>
          </w:tcPr>
          <w:p w14:paraId="32B84C93" w14:textId="77777777" w:rsidR="00060CDF" w:rsidRPr="00AD5DCE" w:rsidRDefault="00060CDF" w:rsidP="00060CDF">
            <w:pPr>
              <w:ind w:left="-110" w:right="-130" w:firstLine="90"/>
              <w:jc w:val="left"/>
              <w:rPr>
                <w:color w:val="0D0D0D" w:themeColor="text1" w:themeTint="F2"/>
              </w:rPr>
            </w:pPr>
            <w:r w:rsidRPr="00AD5DCE">
              <w:rPr>
                <w:color w:val="0D0D0D" w:themeColor="text1" w:themeTint="F2"/>
              </w:rPr>
              <w:t>AFP</w:t>
            </w:r>
          </w:p>
          <w:p w14:paraId="635E70A7" w14:textId="77777777" w:rsidR="00060CDF" w:rsidRPr="00AD5DCE" w:rsidRDefault="00060CDF" w:rsidP="00060CDF">
            <w:pPr>
              <w:ind w:left="-110" w:right="-130" w:firstLine="90"/>
              <w:jc w:val="left"/>
              <w:rPr>
                <w:color w:val="0D0D0D" w:themeColor="text1" w:themeTint="F2"/>
              </w:rPr>
            </w:pPr>
            <w:r w:rsidRPr="00AD5DCE">
              <w:rPr>
                <w:color w:val="0D0D0D" w:themeColor="text1" w:themeTint="F2"/>
              </w:rPr>
              <w:t>(ng/ml)</w:t>
            </w:r>
          </w:p>
        </w:tc>
        <w:tc>
          <w:tcPr>
            <w:tcW w:w="1897" w:type="dxa"/>
            <w:vAlign w:val="center"/>
          </w:tcPr>
          <w:p w14:paraId="39149AEC" w14:textId="77777777" w:rsidR="00060CDF" w:rsidRPr="00AD5DCE" w:rsidRDefault="00060CDF" w:rsidP="00060CDF">
            <w:pPr>
              <w:ind w:left="-110" w:right="-130" w:firstLine="90"/>
              <w:jc w:val="left"/>
              <w:rPr>
                <w:color w:val="0D0D0D" w:themeColor="text1" w:themeTint="F2"/>
              </w:rPr>
            </w:pPr>
            <w:r w:rsidRPr="00AD5DCE">
              <w:rPr>
                <w:color w:val="0D0D0D" w:themeColor="text1" w:themeTint="F2"/>
              </w:rPr>
              <w:t>&gt;400 (&lt;20*)</w:t>
            </w:r>
          </w:p>
        </w:tc>
        <w:tc>
          <w:tcPr>
            <w:tcW w:w="2441" w:type="dxa"/>
            <w:gridSpan w:val="2"/>
            <w:vAlign w:val="center"/>
          </w:tcPr>
          <w:p w14:paraId="66882AEC" w14:textId="77777777" w:rsidR="00060CDF" w:rsidRPr="00AD5DCE" w:rsidRDefault="00060CDF" w:rsidP="00060CDF">
            <w:pPr>
              <w:ind w:left="-110" w:right="-130" w:firstLine="0"/>
              <w:jc w:val="center"/>
              <w:rPr>
                <w:color w:val="0D0D0D" w:themeColor="text1" w:themeTint="F2"/>
              </w:rPr>
            </w:pPr>
            <w:r w:rsidRPr="00AD5DCE">
              <w:rPr>
                <w:color w:val="0D0D0D" w:themeColor="text1" w:themeTint="F2"/>
              </w:rPr>
              <w:t>16.5 (6.3-42.9)</w:t>
            </w:r>
          </w:p>
        </w:tc>
        <w:tc>
          <w:tcPr>
            <w:tcW w:w="701" w:type="dxa"/>
            <w:vAlign w:val="center"/>
          </w:tcPr>
          <w:p w14:paraId="10E37BC0" w14:textId="77777777" w:rsidR="00060CDF" w:rsidRPr="00AD5DCE" w:rsidRDefault="00060CDF" w:rsidP="00060CDF">
            <w:pPr>
              <w:ind w:left="-110" w:right="-130" w:firstLine="0"/>
              <w:jc w:val="center"/>
              <w:rPr>
                <w:b/>
                <w:bCs/>
                <w:color w:val="0D0D0D" w:themeColor="text1" w:themeTint="F2"/>
              </w:rPr>
            </w:pPr>
            <w:r w:rsidRPr="00AD5DCE">
              <w:rPr>
                <w:b/>
                <w:bCs/>
                <w:color w:val="0D0D0D" w:themeColor="text1" w:themeTint="F2"/>
              </w:rPr>
              <w:t>&lt;0.001</w:t>
            </w:r>
          </w:p>
        </w:tc>
      </w:tr>
      <w:tr w:rsidR="00060CDF" w:rsidRPr="00AD5DCE" w14:paraId="21FB18AA" w14:textId="77777777" w:rsidTr="00060CDF">
        <w:trPr>
          <w:gridAfter w:val="1"/>
          <w:wAfter w:w="14" w:type="dxa"/>
          <w:trHeight w:val="324"/>
        </w:trPr>
        <w:tc>
          <w:tcPr>
            <w:tcW w:w="1078" w:type="dxa"/>
            <w:gridSpan w:val="2"/>
            <w:vMerge/>
            <w:vAlign w:val="center"/>
          </w:tcPr>
          <w:p w14:paraId="1AD78720" w14:textId="77777777" w:rsidR="00060CDF" w:rsidRPr="00AD5DCE" w:rsidRDefault="00060CDF" w:rsidP="00060CDF">
            <w:pPr>
              <w:ind w:left="-110" w:right="-130" w:firstLine="90"/>
              <w:jc w:val="left"/>
              <w:rPr>
                <w:color w:val="0D0D0D" w:themeColor="text1" w:themeTint="F2"/>
              </w:rPr>
            </w:pPr>
          </w:p>
        </w:tc>
        <w:tc>
          <w:tcPr>
            <w:tcW w:w="1897" w:type="dxa"/>
            <w:vAlign w:val="center"/>
          </w:tcPr>
          <w:p w14:paraId="5967895A" w14:textId="77777777" w:rsidR="00060CDF" w:rsidRPr="00AD5DCE" w:rsidRDefault="00060CDF" w:rsidP="00060CDF">
            <w:pPr>
              <w:ind w:left="-110" w:right="-130" w:firstLine="90"/>
              <w:jc w:val="left"/>
              <w:rPr>
                <w:color w:val="0D0D0D" w:themeColor="text1" w:themeTint="F2"/>
              </w:rPr>
            </w:pPr>
            <w:r w:rsidRPr="00AD5DCE">
              <w:rPr>
                <w:color w:val="0D0D0D" w:themeColor="text1" w:themeTint="F2"/>
              </w:rPr>
              <w:t>20-400 (&lt;20*)</w:t>
            </w:r>
          </w:p>
        </w:tc>
        <w:tc>
          <w:tcPr>
            <w:tcW w:w="2441" w:type="dxa"/>
            <w:gridSpan w:val="2"/>
            <w:vAlign w:val="center"/>
          </w:tcPr>
          <w:p w14:paraId="740D3169" w14:textId="77777777" w:rsidR="00060CDF" w:rsidRPr="00AD5DCE" w:rsidRDefault="00060CDF" w:rsidP="00060CDF">
            <w:pPr>
              <w:ind w:left="-110" w:right="-130" w:firstLine="0"/>
              <w:jc w:val="center"/>
              <w:rPr>
                <w:color w:val="0D0D0D" w:themeColor="text1" w:themeTint="F2"/>
              </w:rPr>
            </w:pPr>
            <w:r w:rsidRPr="00AD5DCE">
              <w:rPr>
                <w:color w:val="0D0D0D" w:themeColor="text1" w:themeTint="F2"/>
              </w:rPr>
              <w:t>2.7 (1.2-5.8)</w:t>
            </w:r>
          </w:p>
        </w:tc>
        <w:tc>
          <w:tcPr>
            <w:tcW w:w="701" w:type="dxa"/>
            <w:vAlign w:val="center"/>
          </w:tcPr>
          <w:p w14:paraId="392D82AE" w14:textId="77777777" w:rsidR="00060CDF" w:rsidRPr="00AD5DCE" w:rsidRDefault="00060CDF" w:rsidP="00060CDF">
            <w:pPr>
              <w:ind w:left="-110" w:right="-130" w:firstLine="0"/>
              <w:jc w:val="center"/>
              <w:rPr>
                <w:b/>
                <w:bCs/>
                <w:color w:val="0D0D0D" w:themeColor="text1" w:themeTint="F2"/>
              </w:rPr>
            </w:pPr>
            <w:r w:rsidRPr="00AD5DCE">
              <w:rPr>
                <w:b/>
                <w:bCs/>
                <w:color w:val="0D0D0D" w:themeColor="text1" w:themeTint="F2"/>
              </w:rPr>
              <w:t>0.015</w:t>
            </w:r>
          </w:p>
        </w:tc>
      </w:tr>
      <w:tr w:rsidR="00060CDF" w:rsidRPr="00AD5DCE" w14:paraId="4EB07A01" w14:textId="77777777" w:rsidTr="00060CDF">
        <w:trPr>
          <w:gridAfter w:val="1"/>
          <w:wAfter w:w="14" w:type="dxa"/>
          <w:trHeight w:val="324"/>
        </w:trPr>
        <w:tc>
          <w:tcPr>
            <w:tcW w:w="2975" w:type="dxa"/>
            <w:gridSpan w:val="3"/>
            <w:vAlign w:val="center"/>
          </w:tcPr>
          <w:p w14:paraId="38EE083A" w14:textId="77777777" w:rsidR="00060CDF" w:rsidRPr="00AD5DCE" w:rsidRDefault="00060CDF" w:rsidP="00060CDF">
            <w:pPr>
              <w:ind w:left="-110" w:right="-130" w:firstLine="90"/>
              <w:jc w:val="left"/>
              <w:rPr>
                <w:color w:val="0D0D0D" w:themeColor="text1" w:themeTint="F2"/>
              </w:rPr>
            </w:pPr>
            <w:r w:rsidRPr="00AD5DCE">
              <w:rPr>
                <w:color w:val="0D0D0D" w:themeColor="text1" w:themeTint="F2"/>
              </w:rPr>
              <w:t xml:space="preserve">Prothrombin % </w:t>
            </w:r>
          </w:p>
          <w:p w14:paraId="1EBE6413" w14:textId="77777777" w:rsidR="00060CDF" w:rsidRPr="00AD5DCE" w:rsidRDefault="00060CDF" w:rsidP="00060CDF">
            <w:pPr>
              <w:ind w:left="-110" w:right="-130" w:firstLine="90"/>
              <w:jc w:val="left"/>
              <w:rPr>
                <w:color w:val="0D0D0D" w:themeColor="text1" w:themeTint="F2"/>
              </w:rPr>
            </w:pPr>
            <w:r w:rsidRPr="00AD5DCE">
              <w:rPr>
                <w:color w:val="0D0D0D" w:themeColor="text1" w:themeTint="F2"/>
              </w:rPr>
              <w:t>(Reduced/Normal*)</w:t>
            </w:r>
          </w:p>
        </w:tc>
        <w:tc>
          <w:tcPr>
            <w:tcW w:w="2441" w:type="dxa"/>
            <w:gridSpan w:val="2"/>
            <w:vAlign w:val="center"/>
          </w:tcPr>
          <w:p w14:paraId="0911FFED" w14:textId="77777777" w:rsidR="00060CDF" w:rsidRPr="00AD5DCE" w:rsidRDefault="00060CDF" w:rsidP="00060CDF">
            <w:pPr>
              <w:ind w:left="-110" w:right="-130" w:firstLine="0"/>
              <w:jc w:val="center"/>
              <w:rPr>
                <w:color w:val="0D0D0D" w:themeColor="text1" w:themeTint="F2"/>
              </w:rPr>
            </w:pPr>
            <w:r w:rsidRPr="00AD5DCE">
              <w:rPr>
                <w:color w:val="0D0D0D" w:themeColor="text1" w:themeTint="F2"/>
              </w:rPr>
              <w:t>4.7 (2.0-10.8)</w:t>
            </w:r>
          </w:p>
        </w:tc>
        <w:tc>
          <w:tcPr>
            <w:tcW w:w="701" w:type="dxa"/>
            <w:vAlign w:val="center"/>
          </w:tcPr>
          <w:p w14:paraId="1293E478" w14:textId="77777777" w:rsidR="00060CDF" w:rsidRPr="00AD5DCE" w:rsidRDefault="00060CDF" w:rsidP="00060CDF">
            <w:pPr>
              <w:ind w:left="-110" w:right="-130" w:firstLine="0"/>
              <w:jc w:val="center"/>
              <w:rPr>
                <w:color w:val="0D0D0D" w:themeColor="text1" w:themeTint="F2"/>
              </w:rPr>
            </w:pPr>
            <w:r w:rsidRPr="00AD5DCE">
              <w:rPr>
                <w:b/>
                <w:bCs/>
                <w:color w:val="0D0D0D" w:themeColor="text1" w:themeTint="F2"/>
              </w:rPr>
              <w:t>&lt;0.001</w:t>
            </w:r>
          </w:p>
        </w:tc>
      </w:tr>
      <w:tr w:rsidR="00060CDF" w:rsidRPr="00AD5DCE" w14:paraId="5C65C2D1" w14:textId="77777777" w:rsidTr="00060CDF">
        <w:trPr>
          <w:gridAfter w:val="1"/>
          <w:wAfter w:w="14" w:type="dxa"/>
          <w:trHeight w:val="324"/>
        </w:trPr>
        <w:tc>
          <w:tcPr>
            <w:tcW w:w="2975" w:type="dxa"/>
            <w:gridSpan w:val="3"/>
            <w:vAlign w:val="center"/>
          </w:tcPr>
          <w:p w14:paraId="63454ADC" w14:textId="77777777" w:rsidR="00060CDF" w:rsidRPr="00AD5DCE" w:rsidRDefault="00060CDF" w:rsidP="00060CDF">
            <w:pPr>
              <w:ind w:left="-110" w:right="-130" w:firstLine="90"/>
              <w:jc w:val="left"/>
              <w:rPr>
                <w:color w:val="0D0D0D" w:themeColor="text1" w:themeTint="F2"/>
              </w:rPr>
            </w:pPr>
            <w:r w:rsidRPr="00AD5DCE">
              <w:rPr>
                <w:color w:val="0D0D0D" w:themeColor="text1" w:themeTint="F2"/>
              </w:rPr>
              <w:t>Codon 51 mutation (No*)</w:t>
            </w:r>
          </w:p>
        </w:tc>
        <w:tc>
          <w:tcPr>
            <w:tcW w:w="2441" w:type="dxa"/>
            <w:gridSpan w:val="2"/>
            <w:vAlign w:val="center"/>
          </w:tcPr>
          <w:p w14:paraId="7455B33C" w14:textId="77777777" w:rsidR="00060CDF" w:rsidRPr="00AD5DCE" w:rsidRDefault="00060CDF" w:rsidP="00060CDF">
            <w:pPr>
              <w:ind w:left="-110" w:right="-130" w:firstLine="0"/>
              <w:jc w:val="center"/>
              <w:rPr>
                <w:color w:val="0D0D0D" w:themeColor="text1" w:themeTint="F2"/>
              </w:rPr>
            </w:pPr>
            <w:r w:rsidRPr="00AD5DCE">
              <w:rPr>
                <w:color w:val="0D0D0D" w:themeColor="text1" w:themeTint="F2"/>
              </w:rPr>
              <w:t>3.2 (1.0-9.8)</w:t>
            </w:r>
          </w:p>
        </w:tc>
        <w:tc>
          <w:tcPr>
            <w:tcW w:w="701" w:type="dxa"/>
            <w:vAlign w:val="center"/>
          </w:tcPr>
          <w:p w14:paraId="16C9F26B" w14:textId="77777777" w:rsidR="00060CDF" w:rsidRPr="00AD5DCE" w:rsidRDefault="00060CDF" w:rsidP="00060CDF">
            <w:pPr>
              <w:ind w:left="-110" w:right="-130" w:firstLine="0"/>
              <w:jc w:val="center"/>
              <w:rPr>
                <w:b/>
                <w:bCs/>
                <w:color w:val="0D0D0D" w:themeColor="text1" w:themeTint="F2"/>
              </w:rPr>
            </w:pPr>
            <w:r w:rsidRPr="00AD5DCE">
              <w:rPr>
                <w:b/>
                <w:bCs/>
                <w:color w:val="0D0D0D" w:themeColor="text1" w:themeTint="F2"/>
              </w:rPr>
              <w:t>0.042</w:t>
            </w:r>
          </w:p>
        </w:tc>
      </w:tr>
      <w:tr w:rsidR="00060CDF" w:rsidRPr="00AD5DCE" w14:paraId="1B9E9C94" w14:textId="77777777" w:rsidTr="00060CDF">
        <w:trPr>
          <w:gridAfter w:val="1"/>
          <w:wAfter w:w="14" w:type="dxa"/>
          <w:trHeight w:val="324"/>
        </w:trPr>
        <w:tc>
          <w:tcPr>
            <w:tcW w:w="2975" w:type="dxa"/>
            <w:gridSpan w:val="3"/>
            <w:vAlign w:val="center"/>
          </w:tcPr>
          <w:p w14:paraId="46EFC4DC" w14:textId="77777777" w:rsidR="00060CDF" w:rsidRPr="00AD5DCE" w:rsidRDefault="00060CDF" w:rsidP="00060CDF">
            <w:pPr>
              <w:ind w:left="-110" w:right="-130" w:firstLine="90"/>
              <w:jc w:val="left"/>
              <w:rPr>
                <w:color w:val="0D0D0D" w:themeColor="text1" w:themeTint="F2"/>
              </w:rPr>
            </w:pPr>
            <w:r w:rsidRPr="00AD5DCE">
              <w:rPr>
                <w:color w:val="0D0D0D" w:themeColor="text1" w:themeTint="F2"/>
              </w:rPr>
              <w:t>NTCP S267F variant (No*)</w:t>
            </w:r>
          </w:p>
        </w:tc>
        <w:tc>
          <w:tcPr>
            <w:tcW w:w="2441" w:type="dxa"/>
            <w:gridSpan w:val="2"/>
            <w:vAlign w:val="center"/>
          </w:tcPr>
          <w:p w14:paraId="77600C34" w14:textId="77777777" w:rsidR="00060CDF" w:rsidRPr="00AD5DCE" w:rsidRDefault="00060CDF" w:rsidP="00060CDF">
            <w:pPr>
              <w:ind w:left="-110" w:right="-130" w:firstLine="0"/>
              <w:jc w:val="center"/>
              <w:rPr>
                <w:color w:val="0D0D0D" w:themeColor="text1" w:themeTint="F2"/>
              </w:rPr>
            </w:pPr>
            <w:r w:rsidRPr="00AD5DCE">
              <w:rPr>
                <w:color w:val="0D0D0D" w:themeColor="text1" w:themeTint="F2"/>
              </w:rPr>
              <w:t>1.5 (0.5-4.2)</w:t>
            </w:r>
          </w:p>
        </w:tc>
        <w:tc>
          <w:tcPr>
            <w:tcW w:w="701" w:type="dxa"/>
            <w:vAlign w:val="center"/>
          </w:tcPr>
          <w:p w14:paraId="3AC11064" w14:textId="77777777" w:rsidR="00060CDF" w:rsidRPr="00AD5DCE" w:rsidRDefault="00060CDF" w:rsidP="00060CDF">
            <w:pPr>
              <w:ind w:left="-110" w:right="-130" w:firstLine="0"/>
              <w:jc w:val="center"/>
              <w:rPr>
                <w:b/>
                <w:bCs/>
                <w:color w:val="0D0D0D" w:themeColor="text1" w:themeTint="F2"/>
              </w:rPr>
            </w:pPr>
            <w:r w:rsidRPr="00AD5DCE">
              <w:rPr>
                <w:color w:val="0D0D0D" w:themeColor="text1" w:themeTint="F2"/>
              </w:rPr>
              <w:t>0.461</w:t>
            </w:r>
          </w:p>
        </w:tc>
      </w:tr>
    </w:tbl>
    <w:p w14:paraId="4B289C1B" w14:textId="5B4C1BBC" w:rsidR="00AD5DCE" w:rsidRPr="00AD5DCE" w:rsidRDefault="00556026" w:rsidP="00AD5DCE">
      <w:pPr>
        <w:spacing w:line="340" w:lineRule="exact"/>
        <w:rPr>
          <w:i/>
          <w:iCs/>
          <w:lang w:val="vi-VN"/>
        </w:rPr>
      </w:pPr>
      <w:r w:rsidRPr="00AD5DCE">
        <w:rPr>
          <w:rFonts w:eastAsia="Aptos"/>
          <w:i/>
          <w:iCs/>
          <w:color w:val="0D0D0D" w:themeColor="text1" w:themeTint="F2"/>
          <w:lang w:val="vi-VN"/>
        </w:rPr>
        <w:t xml:space="preserve"> *</w:t>
      </w:r>
      <w:r w:rsidR="00AD5DCE" w:rsidRPr="00AD5DCE">
        <w:t xml:space="preserve"> </w:t>
      </w:r>
      <w:r w:rsidR="00AD5DCE" w:rsidRPr="00AD5DCE">
        <w:rPr>
          <w:rFonts w:eastAsia="Aptos"/>
          <w:i/>
          <w:iCs/>
          <w:color w:val="0D0D0D" w:themeColor="text1" w:themeTint="F2"/>
          <w:lang w:val="vi-VN"/>
        </w:rPr>
        <w:t>Reference</w:t>
      </w:r>
      <w:r w:rsidRPr="00AD5DCE">
        <w:rPr>
          <w:rFonts w:eastAsia="Aptos"/>
          <w:i/>
          <w:iCs/>
          <w:color w:val="0D0D0D" w:themeColor="text1" w:themeTint="F2"/>
          <w:lang w:val="vi-VN"/>
        </w:rPr>
        <w:t xml:space="preserve">; </w:t>
      </w:r>
      <w:r w:rsidR="00AD5DCE" w:rsidRPr="00AD5DCE">
        <w:rPr>
          <w:rFonts w:eastAsia="Times New Roman"/>
          <w:bCs/>
          <w:i/>
          <w:iCs/>
        </w:rPr>
        <w:t>No</w:t>
      </w:r>
      <w:r w:rsidR="00AD5DCE" w:rsidRPr="00AD5DCE">
        <w:rPr>
          <w:rFonts w:eastAsia="Times New Roman"/>
          <w:bCs/>
          <w:i/>
          <w:iCs/>
          <w:lang w:val="vi-VN"/>
        </w:rPr>
        <w:t xml:space="preserve"> HCC </w:t>
      </w:r>
      <w:r w:rsidR="00AD5DCE" w:rsidRPr="00AD5DCE">
        <w:rPr>
          <w:i/>
          <w:iCs/>
          <w:lang w:val="vi-VN"/>
        </w:rPr>
        <w:t>included LC and CHB</w:t>
      </w:r>
    </w:p>
    <w:p w14:paraId="42E41C8F" w14:textId="6D5078CC" w:rsidR="00962360" w:rsidRPr="00AD5DCE" w:rsidRDefault="00AD5DCE" w:rsidP="00AD5DCE">
      <w:pPr>
        <w:spacing w:line="340" w:lineRule="exact"/>
        <w:ind w:firstLine="720"/>
        <w:rPr>
          <w:rFonts w:eastAsia="Times New Roman"/>
          <w:b/>
          <w:noProof/>
          <w:lang w:val="es-ES"/>
        </w:rPr>
      </w:pPr>
      <w:r w:rsidRPr="00AD5DCE">
        <w:rPr>
          <w:color w:val="0D0D0D" w:themeColor="text1" w:themeTint="F2"/>
          <w:lang w:val="vi-VN"/>
        </w:rPr>
        <w:t xml:space="preserve">Multivariate logistic regression analysis in 273 subjects identified five statistically significant factors retained in the final model: age group, sex, AFP level, prothrombin percentage, and amino acid substitution mutations at codon 51 of the </w:t>
      </w:r>
      <w:r w:rsidR="00EF225C">
        <w:rPr>
          <w:i/>
          <w:iCs/>
          <w:color w:val="0D0D0D" w:themeColor="text1" w:themeTint="F2"/>
          <w:lang w:val="vi-VN"/>
        </w:rPr>
        <w:t>preS</w:t>
      </w:r>
      <w:r w:rsidR="005B5D37" w:rsidRPr="005B5D37">
        <w:rPr>
          <w:i/>
          <w:iCs/>
          <w:color w:val="0D0D0D" w:themeColor="text1" w:themeTint="F2"/>
          <w:lang w:val="vi-VN"/>
        </w:rPr>
        <w:t>/S</w:t>
      </w:r>
      <w:r w:rsidRPr="00AD5DCE">
        <w:rPr>
          <w:color w:val="0D0D0D" w:themeColor="text1" w:themeTint="F2"/>
          <w:lang w:val="vi-VN"/>
        </w:rPr>
        <w:t xml:space="preserve"> gene (N51M/Y/P/T/D/S/K/Q; H51Q/R/N/P; P51H)</w:t>
      </w:r>
      <w:r>
        <w:rPr>
          <w:color w:val="0D0D0D" w:themeColor="text1" w:themeTint="F2"/>
          <w:lang w:val="vi-VN"/>
        </w:rPr>
        <w:t>.</w:t>
      </w:r>
    </w:p>
    <w:p w14:paraId="076B2825" w14:textId="77777777" w:rsidR="00802113" w:rsidRDefault="00802113">
      <w:pPr>
        <w:spacing w:after="200"/>
        <w:ind w:firstLine="0"/>
        <w:jc w:val="left"/>
        <w:rPr>
          <w:rFonts w:eastAsia="MS Mincho"/>
          <w:b/>
          <w:iCs/>
          <w:lang w:val="es-ES" w:eastAsia="ko-KR"/>
        </w:rPr>
      </w:pPr>
      <w:r>
        <w:rPr>
          <w:rFonts w:eastAsia="MS Mincho"/>
          <w:b/>
          <w:iCs/>
          <w:lang w:val="es-ES" w:eastAsia="ko-KR"/>
        </w:rPr>
        <w:br w:type="page"/>
      </w:r>
    </w:p>
    <w:p w14:paraId="2B113CCB" w14:textId="6B53C2F5" w:rsidR="0082249E" w:rsidRPr="00AD5DCE" w:rsidRDefault="00F76A65" w:rsidP="00802113">
      <w:pPr>
        <w:widowControl w:val="0"/>
        <w:autoSpaceDE w:val="0"/>
        <w:autoSpaceDN w:val="0"/>
        <w:adjustRightInd w:val="0"/>
        <w:spacing w:line="290" w:lineRule="atLeast"/>
        <w:ind w:firstLine="0"/>
        <w:jc w:val="center"/>
        <w:rPr>
          <w:rFonts w:eastAsia="MS Mincho"/>
          <w:b/>
          <w:iCs/>
          <w:highlight w:val="white"/>
          <w:lang w:val="es-ES" w:eastAsia="ko-KR"/>
        </w:rPr>
      </w:pPr>
      <w:r w:rsidRPr="00AD5DCE">
        <w:rPr>
          <w:rFonts w:eastAsia="MS Mincho"/>
          <w:b/>
          <w:iCs/>
          <w:lang w:val="es-ES" w:eastAsia="ko-KR"/>
        </w:rPr>
        <w:lastRenderedPageBreak/>
        <w:t>Chapter 4. DISCUSSION</w:t>
      </w:r>
    </w:p>
    <w:p w14:paraId="7B777634" w14:textId="70EBB7E5" w:rsidR="00AD5DCE" w:rsidRPr="00AD5DCE" w:rsidRDefault="00AD5DCE" w:rsidP="00802113">
      <w:pPr>
        <w:spacing w:line="290" w:lineRule="atLeast"/>
        <w:ind w:firstLine="0"/>
        <w:outlineLvl w:val="2"/>
        <w:rPr>
          <w:rFonts w:eastAsia="Times New Roman"/>
          <w:b/>
          <w:bCs/>
          <w:shd w:val="clear" w:color="auto" w:fill="auto"/>
          <w:lang w:eastAsia="ja-JP"/>
        </w:rPr>
      </w:pPr>
      <w:r w:rsidRPr="00AD5DCE">
        <w:rPr>
          <w:rFonts w:eastAsia="Times New Roman"/>
          <w:b/>
          <w:bCs/>
          <w:shd w:val="clear" w:color="auto" w:fill="auto"/>
          <w:lang w:eastAsia="ja-JP"/>
        </w:rPr>
        <w:t xml:space="preserve">4.1. Characteristics of the </w:t>
      </w:r>
      <w:r w:rsidR="002F560D">
        <w:rPr>
          <w:rFonts w:eastAsia="Times New Roman"/>
          <w:b/>
          <w:bCs/>
          <w:shd w:val="clear" w:color="auto" w:fill="auto"/>
          <w:lang w:eastAsia="ja-JP"/>
        </w:rPr>
        <w:t>study participants</w:t>
      </w:r>
    </w:p>
    <w:p w14:paraId="30FE935D" w14:textId="3F3102F8"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This study included a total of 743 participants, of whom 429 were HBV-infected individuals diagnosed with </w:t>
      </w:r>
      <w:r w:rsidR="005F6DBD" w:rsidRPr="005F6DBD">
        <w:rPr>
          <w:rFonts w:eastAsia="Times New Roman"/>
          <w:shd w:val="clear" w:color="auto" w:fill="auto"/>
          <w:lang w:eastAsia="ja-JP"/>
        </w:rPr>
        <w:t>three major liver disease entities</w:t>
      </w:r>
      <w:r w:rsidRPr="00AD5DCE">
        <w:rPr>
          <w:rFonts w:eastAsia="Times New Roman"/>
          <w:shd w:val="clear" w:color="auto" w:fill="auto"/>
          <w:lang w:eastAsia="ja-JP"/>
        </w:rPr>
        <w:t>: CHB, LC, and HCC</w:t>
      </w:r>
      <w:r w:rsidR="00374D18">
        <w:rPr>
          <w:rFonts w:eastAsia="Times New Roman"/>
          <w:shd w:val="clear" w:color="auto" w:fill="auto"/>
          <w:lang w:val="vi-VN" w:eastAsia="ja-JP"/>
        </w:rPr>
        <w:t xml:space="preserve"> with </w:t>
      </w:r>
      <w:r w:rsidR="00374D18" w:rsidRPr="00AD5DCE">
        <w:rPr>
          <w:rFonts w:eastAsia="Times New Roman"/>
          <w:shd w:val="clear" w:color="auto" w:fill="auto"/>
          <w:lang w:eastAsia="ja-JP"/>
        </w:rPr>
        <w:t>HBsAg-positive</w:t>
      </w:r>
      <w:r w:rsidR="005F6DBD">
        <w:rPr>
          <w:rFonts w:eastAsia="Times New Roman"/>
          <w:shd w:val="clear" w:color="auto" w:fill="auto"/>
          <w:lang w:val="vi-VN" w:eastAsia="ja-JP"/>
        </w:rPr>
        <w:t xml:space="preserve"> </w:t>
      </w:r>
      <w:r w:rsidR="005F6DBD" w:rsidRPr="005F6DBD">
        <w:rPr>
          <w:rFonts w:eastAsia="Times New Roman"/>
          <w:shd w:val="clear" w:color="auto" w:fill="auto"/>
          <w:lang w:eastAsia="ja-JP"/>
        </w:rPr>
        <w:t>patients</w:t>
      </w:r>
      <w:r w:rsidRPr="00AD5DCE">
        <w:rPr>
          <w:rFonts w:eastAsia="Times New Roman"/>
          <w:shd w:val="clear" w:color="auto" w:fill="auto"/>
          <w:lang w:eastAsia="ja-JP"/>
        </w:rPr>
        <w:t>. The results demonstrated that participant age clearly reflected the natural progression of HBV-related liver disease. The median age gradually increased from the CHB group (47 years) to the LC group (56 years) and was highest in the HCC group (64 years). A marked difference was observed among elderly participants (≥60 years), with proportions of 64.1% (148/231) in the HCC group, 37.5% (36/96) in the LC group, and 18.6% (19/102) in the CHB group (p&lt;0.05).</w:t>
      </w:r>
    </w:p>
    <w:p w14:paraId="316834F9" w14:textId="6362DCB2"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In addition, males predominated across all three disease groups, with the highest proportion observed in the HCC group (90.9%), followed by the LC group (81.3%), and the CHB group (70.6%). In this study, the control group was selected using convenience sampling and consisted of 314 blood donors. Although males also accounted for the majority in the control group (76.1%; 239/314), similar to the disease groups, the age distribution differed substantially, with most participants being younger than 60 years (88.2%). However, as the control group was used primarily for comparison of </w:t>
      </w:r>
      <w:r w:rsidR="00374D18" w:rsidRPr="00374D18">
        <w:rPr>
          <w:rFonts w:eastAsia="Times New Roman"/>
          <w:i/>
          <w:iCs/>
          <w:shd w:val="clear" w:color="auto" w:fill="auto"/>
          <w:lang w:eastAsia="ja-JP"/>
        </w:rPr>
        <w:t>SLC10A1</w:t>
      </w:r>
      <w:r w:rsidRPr="00AD5DCE">
        <w:rPr>
          <w:rFonts w:eastAsia="Times New Roman"/>
          <w:shd w:val="clear" w:color="auto" w:fill="auto"/>
          <w:lang w:eastAsia="ja-JP"/>
        </w:rPr>
        <w:t xml:space="preserve"> gene</w:t>
      </w:r>
      <w:r w:rsidR="00EF225C">
        <w:rPr>
          <w:rFonts w:eastAsia="Times New Roman"/>
          <w:shd w:val="clear" w:color="auto" w:fill="auto"/>
          <w:lang w:val="vi-VN" w:eastAsia="ja-JP"/>
        </w:rPr>
        <w:t xml:space="preserve"> </w:t>
      </w:r>
      <w:r w:rsidR="002F560D" w:rsidRPr="002F560D">
        <w:rPr>
          <w:rFonts w:eastAsia="Times New Roman"/>
          <w:shd w:val="clear" w:color="auto" w:fill="auto"/>
          <w:lang w:eastAsia="ja-JP"/>
        </w:rPr>
        <w:t>sequencing</w:t>
      </w:r>
      <w:r w:rsidRPr="00AD5DCE">
        <w:rPr>
          <w:rFonts w:eastAsia="Times New Roman"/>
          <w:shd w:val="clear" w:color="auto" w:fill="auto"/>
          <w:lang w:eastAsia="ja-JP"/>
        </w:rPr>
        <w:t>, which re</w:t>
      </w:r>
      <w:r w:rsidR="00EF225C">
        <w:rPr>
          <w:rFonts w:eastAsia="Times New Roman"/>
          <w:shd w:val="clear" w:color="auto" w:fill="auto"/>
          <w:lang w:eastAsia="ja-JP"/>
        </w:rPr>
        <w:t>pres</w:t>
      </w:r>
      <w:r w:rsidRPr="00AD5DCE">
        <w:rPr>
          <w:rFonts w:eastAsia="Times New Roman"/>
          <w:shd w:val="clear" w:color="auto" w:fill="auto"/>
          <w:lang w:eastAsia="ja-JP"/>
        </w:rPr>
        <w:t>ents a relatively stable genetic trait, the age differences between groups were considered to have a negligible impact on the study outcomes.</w:t>
      </w:r>
    </w:p>
    <w:p w14:paraId="6FDCD828" w14:textId="7223021A" w:rsidR="00AD5DCE" w:rsidRPr="00AD5DCE" w:rsidRDefault="00AD5DCE" w:rsidP="00802113">
      <w:pPr>
        <w:spacing w:line="290" w:lineRule="atLeast"/>
        <w:ind w:firstLine="0"/>
        <w:outlineLvl w:val="2"/>
        <w:rPr>
          <w:rFonts w:eastAsia="Times New Roman"/>
          <w:b/>
          <w:bCs/>
          <w:shd w:val="clear" w:color="auto" w:fill="auto"/>
          <w:lang w:eastAsia="ja-JP"/>
        </w:rPr>
      </w:pPr>
      <w:r w:rsidRPr="00AD5DCE">
        <w:rPr>
          <w:rFonts w:eastAsia="Times New Roman"/>
          <w:b/>
          <w:bCs/>
          <w:shd w:val="clear" w:color="auto" w:fill="auto"/>
          <w:lang w:eastAsia="ja-JP"/>
        </w:rPr>
        <w:t xml:space="preserve">4.2. Characteristics of </w:t>
      </w:r>
      <w:r w:rsidR="00EF225C">
        <w:rPr>
          <w:rFonts w:eastAsia="Times New Roman"/>
          <w:b/>
          <w:bCs/>
          <w:i/>
          <w:iCs/>
          <w:shd w:val="clear" w:color="auto" w:fill="auto"/>
          <w:lang w:eastAsia="ja-JP"/>
        </w:rPr>
        <w:t>preS</w:t>
      </w:r>
      <w:r w:rsidR="005B5D37" w:rsidRPr="005B5D37">
        <w:rPr>
          <w:rFonts w:eastAsia="Times New Roman"/>
          <w:b/>
          <w:bCs/>
          <w:i/>
          <w:iCs/>
          <w:shd w:val="clear" w:color="auto" w:fill="auto"/>
          <w:lang w:eastAsia="ja-JP"/>
        </w:rPr>
        <w:t>/S</w:t>
      </w:r>
      <w:r w:rsidRPr="00AD5DCE">
        <w:rPr>
          <w:rFonts w:eastAsia="Times New Roman"/>
          <w:b/>
          <w:bCs/>
          <w:shd w:val="clear" w:color="auto" w:fill="auto"/>
          <w:lang w:eastAsia="ja-JP"/>
        </w:rPr>
        <w:t xml:space="preserve"> </w:t>
      </w:r>
      <w:r w:rsidR="0049643F">
        <w:rPr>
          <w:rFonts w:eastAsia="Times New Roman"/>
          <w:b/>
          <w:bCs/>
          <w:shd w:val="clear" w:color="auto" w:fill="auto"/>
          <w:lang w:eastAsia="ja-JP"/>
        </w:rPr>
        <w:t xml:space="preserve">gene </w:t>
      </w:r>
      <w:r w:rsidRPr="00AD5DCE">
        <w:rPr>
          <w:rFonts w:eastAsia="Times New Roman"/>
          <w:b/>
          <w:bCs/>
          <w:shd w:val="clear" w:color="auto" w:fill="auto"/>
          <w:lang w:eastAsia="ja-JP"/>
        </w:rPr>
        <w:t xml:space="preserve">Mutations and the </w:t>
      </w:r>
      <w:r w:rsidR="00374D18" w:rsidRPr="00374D18">
        <w:rPr>
          <w:rFonts w:eastAsia="Times New Roman"/>
          <w:b/>
          <w:bCs/>
          <w:i/>
          <w:iCs/>
          <w:shd w:val="clear" w:color="auto" w:fill="auto"/>
          <w:lang w:eastAsia="ja-JP"/>
        </w:rPr>
        <w:t>SLC10A1</w:t>
      </w:r>
      <w:r w:rsidRPr="00AD5DCE">
        <w:rPr>
          <w:rFonts w:eastAsia="Times New Roman"/>
          <w:b/>
          <w:bCs/>
          <w:shd w:val="clear" w:color="auto" w:fill="auto"/>
          <w:lang w:eastAsia="ja-JP"/>
        </w:rPr>
        <w:t xml:space="preserve"> Gene</w:t>
      </w:r>
    </w:p>
    <w:p w14:paraId="065D5A7D" w14:textId="65298177" w:rsidR="00AD5DCE" w:rsidRPr="00AD5DCE" w:rsidRDefault="00AD5DCE" w:rsidP="00802113">
      <w:pPr>
        <w:spacing w:line="290" w:lineRule="atLeast"/>
        <w:ind w:firstLine="0"/>
        <w:outlineLvl w:val="3"/>
        <w:rPr>
          <w:rFonts w:eastAsia="Times New Roman"/>
          <w:b/>
          <w:bCs/>
          <w:i/>
          <w:iCs/>
          <w:shd w:val="clear" w:color="auto" w:fill="auto"/>
          <w:lang w:eastAsia="ja-JP"/>
        </w:rPr>
      </w:pPr>
      <w:r w:rsidRPr="00AD5DCE">
        <w:rPr>
          <w:rFonts w:eastAsia="Times New Roman"/>
          <w:b/>
          <w:bCs/>
          <w:i/>
          <w:iCs/>
          <w:shd w:val="clear" w:color="auto" w:fill="auto"/>
          <w:lang w:eastAsia="ja-JP"/>
        </w:rPr>
        <w:t xml:space="preserve">4.2.1. Characteristics of the HBV </w:t>
      </w:r>
      <w:r w:rsidR="00EF225C">
        <w:rPr>
          <w:rFonts w:eastAsia="Times New Roman"/>
          <w:b/>
          <w:bCs/>
          <w:i/>
          <w:iCs/>
          <w:shd w:val="clear" w:color="auto" w:fill="auto"/>
          <w:lang w:eastAsia="ja-JP"/>
        </w:rPr>
        <w:t>preS</w:t>
      </w:r>
      <w:r w:rsidR="005B5D37" w:rsidRPr="005B5D37">
        <w:rPr>
          <w:rFonts w:eastAsia="Times New Roman"/>
          <w:b/>
          <w:bCs/>
          <w:i/>
          <w:iCs/>
          <w:shd w:val="clear" w:color="auto" w:fill="auto"/>
          <w:lang w:eastAsia="ja-JP"/>
        </w:rPr>
        <w:t>/S</w:t>
      </w:r>
      <w:r w:rsidRPr="00AD5DCE">
        <w:rPr>
          <w:rFonts w:eastAsia="Times New Roman"/>
          <w:b/>
          <w:bCs/>
          <w:i/>
          <w:iCs/>
          <w:shd w:val="clear" w:color="auto" w:fill="auto"/>
          <w:lang w:eastAsia="ja-JP"/>
        </w:rPr>
        <w:t xml:space="preserve"> Gene</w:t>
      </w:r>
    </w:p>
    <w:p w14:paraId="46652CE0" w14:textId="77777777"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Over time, the accumulation of HBV mutations drives genetic diversification, giving rise to distinct viral lineages known as genotypes. HBV genotypes have been shown to be associated with HBeAg seroconversion rates, and different genotypes may contribute to heterogeneity in clinical manifestations and treatment responses. In our study, HBV genotype B was predominant, accounting for 70.0% </w:t>
      </w:r>
      <w:r w:rsidRPr="00AD5DCE">
        <w:rPr>
          <w:rFonts w:eastAsia="Times New Roman"/>
          <w:shd w:val="clear" w:color="auto" w:fill="auto"/>
          <w:lang w:eastAsia="ja-JP"/>
        </w:rPr>
        <w:lastRenderedPageBreak/>
        <w:t>(191/273) of participants, followed by genotype C at 28.2% (77/273). Only a small number of participants were infected with genotype D (2/273) or genotype I (3/273). In Vietnam, improvements in HBV screening, management, and treatment may influence genotype distribution; therefore, larger-scale studies are warranted to reassess the role of HBV genotypes in the risk of HCC progression.</w:t>
      </w:r>
    </w:p>
    <w:p w14:paraId="32776172" w14:textId="12CD6A0A"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In this study, we focused on analyzing mutations in the HBV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gene spanning codons 20 to 174 in 273 participants with chronic liver disease and detectable HBV-DNA levels. Our results showed that nearly all functional regions of the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gene—including the Hsc70 binding region (codons 74–118), the S promoter (codons 66–111), and the neutralizing B-cell epitope site (NBS; codons 103–127)—harbored at least one mutation, with mutation frequencies of 100%, 100%, and 94.5%, respectively. These frequencies were higher than those reported in previous studies conducted in Vietnam.</w:t>
      </w:r>
    </w:p>
    <w:p w14:paraId="28E2249D" w14:textId="04A6D011"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Although only codons 20–174 of the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gene were analyzed, this region encompasses the segment encoding the NTCP-binding ligand (codons 20–29), which directly mediates HBV attachment to the hepatocyte NTCP receptor. We observed a mutation rate of 15.4% in this region. Stratified analysis by disease group revealed a progressive increase in mutation frequency with disease severity: 12.2% in the CHB group, 14.1% in the LC group, and 20.0% in the HCC group. Although this trend did not reach statistical significance (p=0.301), it re</w:t>
      </w:r>
      <w:r w:rsidR="00EF225C">
        <w:rPr>
          <w:rFonts w:eastAsia="Times New Roman"/>
          <w:shd w:val="clear" w:color="auto" w:fill="auto"/>
          <w:lang w:eastAsia="ja-JP"/>
        </w:rPr>
        <w:t>pres</w:t>
      </w:r>
      <w:r w:rsidRPr="00AD5DCE">
        <w:rPr>
          <w:rFonts w:eastAsia="Times New Roman"/>
          <w:shd w:val="clear" w:color="auto" w:fill="auto"/>
          <w:lang w:eastAsia="ja-JP"/>
        </w:rPr>
        <w:t xml:space="preserve">ents a biologically meaningful signal. Mutations in this region may alter the binding affinity between HBV and NTCP, thereby affecting viral entry into hepatocytes and potentially dysregulating </w:t>
      </w:r>
      <w:r w:rsidR="00374D18" w:rsidRPr="00374D18">
        <w:rPr>
          <w:rFonts w:eastAsia="Times New Roman"/>
          <w:i/>
          <w:iCs/>
          <w:shd w:val="clear" w:color="auto" w:fill="auto"/>
          <w:lang w:eastAsia="ja-JP"/>
        </w:rPr>
        <w:t>SLC10A1</w:t>
      </w:r>
      <w:r w:rsidRPr="00AD5DCE">
        <w:rPr>
          <w:rFonts w:eastAsia="Times New Roman"/>
          <w:shd w:val="clear" w:color="auto" w:fill="auto"/>
          <w:lang w:eastAsia="ja-JP"/>
        </w:rPr>
        <w:t xml:space="preserve"> ex</w:t>
      </w:r>
      <w:r w:rsidR="00EF225C">
        <w:rPr>
          <w:rFonts w:eastAsia="Times New Roman"/>
          <w:shd w:val="clear" w:color="auto" w:fill="auto"/>
          <w:lang w:eastAsia="ja-JP"/>
        </w:rPr>
        <w:t>pres</w:t>
      </w:r>
      <w:r w:rsidRPr="00AD5DCE">
        <w:rPr>
          <w:rFonts w:eastAsia="Times New Roman"/>
          <w:shd w:val="clear" w:color="auto" w:fill="auto"/>
          <w:lang w:eastAsia="ja-JP"/>
        </w:rPr>
        <w:t>sion.</w:t>
      </w:r>
    </w:p>
    <w:p w14:paraId="06A3587B" w14:textId="62A85DEA"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Analysis of amino acid substitution hotspots in the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gene (mutation frequency ≥10%) across the three disease groups revealed a largely homogeneous pattern at most positions. In the HCC group, high-frequency mutations (&gt;70%) were observed at codons 90, 101, 104, 152, 154, 160, 164, and 165, followed by codons 167, 39, and 55 </w:t>
      </w:r>
      <w:r w:rsidRPr="00AD5DCE">
        <w:rPr>
          <w:rFonts w:eastAsia="Times New Roman"/>
          <w:shd w:val="clear" w:color="auto" w:fill="auto"/>
          <w:lang w:eastAsia="ja-JP"/>
        </w:rPr>
        <w:lastRenderedPageBreak/>
        <w:t xml:space="preserve">(&gt;50%). Similar mutation frequencies at these codons were also observed in the LC and CHB groups. Codons 152, 154, 160, 164, and 165 are located within the C-terminal region of </w:t>
      </w:r>
      <w:r w:rsidR="00496AF8" w:rsidRPr="00496AF8">
        <w:rPr>
          <w:rFonts w:eastAsia="Times New Roman"/>
          <w:i/>
          <w:iCs/>
          <w:shd w:val="clear" w:color="auto" w:fill="auto"/>
          <w:lang w:eastAsia="ja-JP"/>
        </w:rPr>
        <w:t>preS2</w:t>
      </w:r>
      <w:r w:rsidRPr="00AD5DCE">
        <w:rPr>
          <w:rFonts w:eastAsia="Times New Roman"/>
          <w:shd w:val="clear" w:color="auto" w:fill="auto"/>
          <w:lang w:eastAsia="ja-JP"/>
        </w:rPr>
        <w:t xml:space="preserve">, a region of critical immunological importance that contains B-cell and T-cell epitopes. Meanwhile, codons 90, 101, and 104 are located within the Hsc70-binding and S-promoter regions, which play essential functional roles. The consistently high mutation frequencies observed across all disease groups suggest that these regions may have important biological significance. This similarity likely reflects shared genetic characteristics of chronic HBV-infected populations and suggests that immune selection </w:t>
      </w:r>
      <w:r w:rsidR="00EF225C">
        <w:rPr>
          <w:rFonts w:eastAsia="Times New Roman"/>
          <w:shd w:val="clear" w:color="auto" w:fill="auto"/>
          <w:lang w:eastAsia="ja-JP"/>
        </w:rPr>
        <w:t>pres</w:t>
      </w:r>
      <w:r w:rsidRPr="00AD5DCE">
        <w:rPr>
          <w:rFonts w:eastAsia="Times New Roman"/>
          <w:shd w:val="clear" w:color="auto" w:fill="auto"/>
          <w:lang w:eastAsia="ja-JP"/>
        </w:rPr>
        <w:t xml:space="preserve">sure may not be sufficiently specific to induce distinct genome-wide divergence across disease stages. These findings are consistent with the study by Barbara Vieira Lago et al. (2024), which reported no significant differences in mutation hotspot distribution across stages of </w:t>
      </w:r>
      <w:r w:rsidR="00374D18">
        <w:rPr>
          <w:rFonts w:eastAsia="Times New Roman"/>
          <w:shd w:val="clear" w:color="auto" w:fill="auto"/>
          <w:lang w:eastAsia="ja-JP"/>
        </w:rPr>
        <w:t>CHB</w:t>
      </w:r>
      <w:r w:rsidRPr="00AD5DCE">
        <w:rPr>
          <w:rFonts w:eastAsia="Times New Roman"/>
          <w:shd w:val="clear" w:color="auto" w:fill="auto"/>
          <w:lang w:eastAsia="ja-JP"/>
        </w:rPr>
        <w:t>.</w:t>
      </w:r>
    </w:p>
    <w:p w14:paraId="0A55EC31" w14:textId="36B73083" w:rsidR="00AD5DCE" w:rsidRPr="00AD5DCE" w:rsidRDefault="00AD5DCE" w:rsidP="00802113">
      <w:pPr>
        <w:spacing w:line="290" w:lineRule="atLeast"/>
        <w:ind w:firstLine="0"/>
        <w:outlineLvl w:val="3"/>
        <w:rPr>
          <w:rFonts w:eastAsia="Times New Roman"/>
          <w:b/>
          <w:bCs/>
          <w:i/>
          <w:iCs/>
          <w:shd w:val="clear" w:color="auto" w:fill="auto"/>
          <w:lang w:eastAsia="ja-JP"/>
        </w:rPr>
      </w:pPr>
      <w:r w:rsidRPr="00AD5DCE">
        <w:rPr>
          <w:rFonts w:eastAsia="Times New Roman"/>
          <w:b/>
          <w:bCs/>
          <w:i/>
          <w:iCs/>
          <w:shd w:val="clear" w:color="auto" w:fill="auto"/>
          <w:lang w:eastAsia="ja-JP"/>
        </w:rPr>
        <w:t xml:space="preserve">4.2.2. Characteristics of the </w:t>
      </w:r>
      <w:r w:rsidR="00374D18" w:rsidRPr="00374D18">
        <w:rPr>
          <w:rFonts w:eastAsia="Times New Roman"/>
          <w:b/>
          <w:bCs/>
          <w:i/>
          <w:iCs/>
          <w:shd w:val="clear" w:color="auto" w:fill="auto"/>
          <w:lang w:eastAsia="ja-JP"/>
        </w:rPr>
        <w:t>SLC10A1</w:t>
      </w:r>
      <w:r w:rsidRPr="00AD5DCE">
        <w:rPr>
          <w:rFonts w:eastAsia="Times New Roman"/>
          <w:b/>
          <w:bCs/>
          <w:i/>
          <w:iCs/>
          <w:shd w:val="clear" w:color="auto" w:fill="auto"/>
          <w:lang w:eastAsia="ja-JP"/>
        </w:rPr>
        <w:t xml:space="preserve"> </w:t>
      </w:r>
      <w:r w:rsidR="0049643F">
        <w:rPr>
          <w:rFonts w:eastAsia="Times New Roman"/>
          <w:b/>
          <w:bCs/>
          <w:i/>
          <w:iCs/>
          <w:shd w:val="clear" w:color="auto" w:fill="auto"/>
          <w:lang w:eastAsia="ja-JP"/>
        </w:rPr>
        <w:t xml:space="preserve">gene </w:t>
      </w:r>
      <w:r w:rsidRPr="00AD5DCE">
        <w:rPr>
          <w:rFonts w:eastAsia="Times New Roman"/>
          <w:b/>
          <w:bCs/>
          <w:i/>
          <w:iCs/>
          <w:shd w:val="clear" w:color="auto" w:fill="auto"/>
          <w:lang w:eastAsia="ja-JP"/>
        </w:rPr>
        <w:t xml:space="preserve">in </w:t>
      </w:r>
      <w:r w:rsidR="002F560D">
        <w:rPr>
          <w:rFonts w:eastAsia="Times New Roman"/>
          <w:b/>
          <w:bCs/>
          <w:i/>
          <w:iCs/>
          <w:shd w:val="clear" w:color="auto" w:fill="auto"/>
          <w:lang w:eastAsia="ja-JP"/>
        </w:rPr>
        <w:t>study participants</w:t>
      </w:r>
    </w:p>
    <w:p w14:paraId="1D52C721" w14:textId="77777777" w:rsidR="00AD5DCE" w:rsidRPr="00AD5DCE" w:rsidRDefault="00AD5DCE" w:rsidP="00802113">
      <w:pPr>
        <w:spacing w:line="290" w:lineRule="atLeast"/>
        <w:ind w:firstLine="0"/>
        <w:rPr>
          <w:rFonts w:eastAsia="Times New Roman"/>
          <w:shd w:val="clear" w:color="auto" w:fill="auto"/>
          <w:lang w:eastAsia="ja-JP"/>
        </w:rPr>
      </w:pPr>
      <w:r w:rsidRPr="00AD5DCE">
        <w:rPr>
          <w:rFonts w:eastAsia="Times New Roman"/>
          <w:shd w:val="clear" w:color="auto" w:fill="auto"/>
          <w:lang w:eastAsia="ja-JP"/>
        </w:rPr>
        <w:t>We analyzed the NTCP S267F variant in all 743 participants. The frequency of the CT genotype was 16.9% (39/231) in the HCC group, which was significantly higher than that observed in the LC group (6.2%; 6/96) and the CHB group (5.9%; 6/102), while the control group showed a frequency of 19.1% (60/314) (p&lt;0.05). The prevalence of this variant in the HCC group was higher than that reported in previous Vietnamese studies. Although mutation frequencies vary across studies, these findings reinforce the role of the NTCP S267F variant as an East Asian–specific genetic characteristic that is largely absent in Caucasian populations.</w:t>
      </w:r>
    </w:p>
    <w:p w14:paraId="0BAE00BA" w14:textId="77777777" w:rsidR="00AD5DCE" w:rsidRPr="00AD5DCE" w:rsidRDefault="00AD5DCE" w:rsidP="00802113">
      <w:pPr>
        <w:spacing w:line="290" w:lineRule="atLeast"/>
        <w:ind w:firstLine="0"/>
        <w:rPr>
          <w:rFonts w:eastAsia="Times New Roman"/>
          <w:shd w:val="clear" w:color="auto" w:fill="auto"/>
          <w:lang w:eastAsia="ja-JP"/>
        </w:rPr>
      </w:pPr>
      <w:r w:rsidRPr="00AD5DCE">
        <w:rPr>
          <w:rFonts w:eastAsia="Times New Roman"/>
          <w:shd w:val="clear" w:color="auto" w:fill="auto"/>
          <w:lang w:eastAsia="ja-JP"/>
        </w:rPr>
        <w:t>Notably, a consistent trend was observed in which the frequency of the NTCP S267F variant was lower in participants with chronic liver disease (CHB, LC, and HCC) than in healthy controls, strongly supporting the hypothesis that S267F acts as a protective factor, inhibiting viral entry and limiting progression to chronic liver disease.</w:t>
      </w:r>
    </w:p>
    <w:p w14:paraId="2166F795" w14:textId="152CA587" w:rsidR="00AD5DCE" w:rsidRPr="00AD5DCE" w:rsidRDefault="00AD5DCE" w:rsidP="00802113">
      <w:pPr>
        <w:spacing w:line="290" w:lineRule="atLeast"/>
        <w:ind w:firstLine="0"/>
        <w:outlineLvl w:val="2"/>
        <w:rPr>
          <w:rFonts w:eastAsia="Times New Roman"/>
          <w:b/>
          <w:bCs/>
          <w:shd w:val="clear" w:color="auto" w:fill="auto"/>
          <w:lang w:eastAsia="ja-JP"/>
        </w:rPr>
      </w:pPr>
      <w:r w:rsidRPr="00AD5DCE">
        <w:rPr>
          <w:rFonts w:eastAsia="Times New Roman"/>
          <w:b/>
          <w:bCs/>
          <w:shd w:val="clear" w:color="auto" w:fill="auto"/>
          <w:lang w:eastAsia="ja-JP"/>
        </w:rPr>
        <w:t xml:space="preserve">4.3. Associations between </w:t>
      </w:r>
      <w:r w:rsidR="00EF225C">
        <w:rPr>
          <w:rFonts w:eastAsia="Times New Roman"/>
          <w:b/>
          <w:bCs/>
          <w:i/>
          <w:iCs/>
          <w:shd w:val="clear" w:color="auto" w:fill="auto"/>
          <w:lang w:eastAsia="ja-JP"/>
        </w:rPr>
        <w:t>preS</w:t>
      </w:r>
      <w:r w:rsidR="005B5D37" w:rsidRPr="005B5D37">
        <w:rPr>
          <w:rFonts w:eastAsia="Times New Roman"/>
          <w:b/>
          <w:bCs/>
          <w:i/>
          <w:iCs/>
          <w:shd w:val="clear" w:color="auto" w:fill="auto"/>
          <w:lang w:eastAsia="ja-JP"/>
        </w:rPr>
        <w:t>/S</w:t>
      </w:r>
      <w:r w:rsidRPr="00AD5DCE">
        <w:rPr>
          <w:rFonts w:eastAsia="Times New Roman"/>
          <w:b/>
          <w:bCs/>
          <w:shd w:val="clear" w:color="auto" w:fill="auto"/>
          <w:lang w:eastAsia="ja-JP"/>
        </w:rPr>
        <w:t xml:space="preserve"> Mutations, </w:t>
      </w:r>
      <w:r w:rsidR="00374D18" w:rsidRPr="00374D18">
        <w:rPr>
          <w:rFonts w:eastAsia="Times New Roman"/>
          <w:b/>
          <w:bCs/>
          <w:i/>
          <w:iCs/>
          <w:shd w:val="clear" w:color="auto" w:fill="auto"/>
          <w:lang w:eastAsia="ja-JP"/>
        </w:rPr>
        <w:t>SLC10A1</w:t>
      </w:r>
      <w:r w:rsidRPr="00AD5DCE">
        <w:rPr>
          <w:rFonts w:eastAsia="Times New Roman"/>
          <w:b/>
          <w:bCs/>
          <w:shd w:val="clear" w:color="auto" w:fill="auto"/>
          <w:lang w:eastAsia="ja-JP"/>
        </w:rPr>
        <w:t xml:space="preserve"> Variants, and Clinical Characteristics in HBsAg-Positive HCC</w:t>
      </w:r>
    </w:p>
    <w:p w14:paraId="0634E1EE" w14:textId="0C468C1A" w:rsidR="00AD5DCE" w:rsidRPr="00AD5DCE" w:rsidRDefault="00AD5DCE" w:rsidP="00802113">
      <w:pPr>
        <w:spacing w:line="290" w:lineRule="atLeast"/>
        <w:ind w:firstLine="0"/>
        <w:outlineLvl w:val="3"/>
        <w:rPr>
          <w:rFonts w:eastAsia="Times New Roman"/>
          <w:b/>
          <w:bCs/>
          <w:i/>
          <w:iCs/>
          <w:shd w:val="clear" w:color="auto" w:fill="auto"/>
          <w:lang w:eastAsia="ja-JP"/>
        </w:rPr>
      </w:pPr>
      <w:r w:rsidRPr="00AD5DCE">
        <w:rPr>
          <w:rFonts w:eastAsia="Times New Roman"/>
          <w:b/>
          <w:bCs/>
          <w:i/>
          <w:iCs/>
          <w:shd w:val="clear" w:color="auto" w:fill="auto"/>
          <w:lang w:eastAsia="ja-JP"/>
        </w:rPr>
        <w:lastRenderedPageBreak/>
        <w:t xml:space="preserve">4.3.1. Associations between HBV </w:t>
      </w:r>
      <w:r w:rsidR="00EF225C">
        <w:rPr>
          <w:rFonts w:eastAsia="Times New Roman"/>
          <w:b/>
          <w:bCs/>
          <w:i/>
          <w:iCs/>
          <w:shd w:val="clear" w:color="auto" w:fill="auto"/>
          <w:lang w:eastAsia="ja-JP"/>
        </w:rPr>
        <w:t>preS</w:t>
      </w:r>
      <w:r w:rsidR="005B5D37" w:rsidRPr="005B5D37">
        <w:rPr>
          <w:rFonts w:eastAsia="Times New Roman"/>
          <w:b/>
          <w:bCs/>
          <w:i/>
          <w:iCs/>
          <w:shd w:val="clear" w:color="auto" w:fill="auto"/>
          <w:lang w:eastAsia="ja-JP"/>
        </w:rPr>
        <w:t>/S</w:t>
      </w:r>
      <w:r w:rsidRPr="00AD5DCE">
        <w:rPr>
          <w:rFonts w:eastAsia="Times New Roman"/>
          <w:b/>
          <w:bCs/>
          <w:i/>
          <w:iCs/>
          <w:shd w:val="clear" w:color="auto" w:fill="auto"/>
          <w:lang w:eastAsia="ja-JP"/>
        </w:rPr>
        <w:t xml:space="preserve"> Mutations, the </w:t>
      </w:r>
      <w:r w:rsidR="005B5D37">
        <w:rPr>
          <w:rFonts w:eastAsia="Times New Roman"/>
          <w:b/>
          <w:bCs/>
          <w:i/>
          <w:iCs/>
          <w:shd w:val="clear" w:color="auto" w:fill="auto"/>
          <w:lang w:eastAsia="ja-JP"/>
        </w:rPr>
        <w:t>NTCP S267F variant</w:t>
      </w:r>
      <w:r w:rsidRPr="00AD5DCE">
        <w:rPr>
          <w:rFonts w:eastAsia="Times New Roman"/>
          <w:b/>
          <w:bCs/>
          <w:i/>
          <w:iCs/>
          <w:shd w:val="clear" w:color="auto" w:fill="auto"/>
          <w:lang w:eastAsia="ja-JP"/>
        </w:rPr>
        <w:t>, and Risk of Liver Disease Progression</w:t>
      </w:r>
    </w:p>
    <w:p w14:paraId="35CC0FEC" w14:textId="50387751"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We evaluated the association between the NTCP S267F variant and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mutations within codons 20–29, which encode the ligand required for interaction with the NTCP receptor. Among 273 sequenced participants, although the mutation frequency in this region was higher in individuals with the CT genotype (26.9%) than in those with the CC genotype (14.2%), the difference was not statistically significant (p=0.130), suggesting that the CT genotype does not exert selective </w:t>
      </w:r>
      <w:r w:rsidR="00EF225C">
        <w:rPr>
          <w:rFonts w:eastAsia="Times New Roman"/>
          <w:shd w:val="clear" w:color="auto" w:fill="auto"/>
          <w:lang w:eastAsia="ja-JP"/>
        </w:rPr>
        <w:t>pres</w:t>
      </w:r>
      <w:r w:rsidRPr="00AD5DCE">
        <w:rPr>
          <w:rFonts w:eastAsia="Times New Roman"/>
          <w:shd w:val="clear" w:color="auto" w:fill="auto"/>
          <w:lang w:eastAsia="ja-JP"/>
        </w:rPr>
        <w:t>sure on the virus.</w:t>
      </w:r>
    </w:p>
    <w:p w14:paraId="708BADDE" w14:textId="430525A3"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Additionally, we identified two </w:t>
      </w:r>
      <w:r w:rsidR="00496AF8" w:rsidRPr="00496AF8">
        <w:rPr>
          <w:rFonts w:eastAsia="Times New Roman"/>
          <w:i/>
          <w:iCs/>
          <w:shd w:val="clear" w:color="auto" w:fill="auto"/>
          <w:lang w:eastAsia="ja-JP"/>
        </w:rPr>
        <w:t>preS2</w:t>
      </w:r>
      <w:r w:rsidRPr="00AD5DCE">
        <w:rPr>
          <w:rFonts w:eastAsia="Times New Roman"/>
          <w:shd w:val="clear" w:color="auto" w:fill="auto"/>
          <w:lang w:eastAsia="ja-JP"/>
        </w:rPr>
        <w:t xml:space="preserve"> mutations—T125P/A/I/N/S and T167K/M/R—that were significantly associated with the NTCP S267F variant, findings that have not been previously reported in the literature. These results highlight the complexity of host–virus interactions and underscore the need for larger-scale studies to elucidate HBV evolutionary and adaptive mechanisms, particularly in Vietnamese populations.</w:t>
      </w:r>
    </w:p>
    <w:p w14:paraId="399A1562" w14:textId="203F3F7A"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We further assessed the association between individual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mutation hotspots (codons 20–174) and the risk of HCC progression among participants with chronic HBV-related liver disease (CHB and LC as the reference group). Participants infected with HBV genotype B and harboring the N51M/Y/P/T/D/S/K/Q mutation exhibited a fivefold increased risk of HCC (OR=5.0; 95% CI: 1.2–20.8) compared with those without this mutation. These findings provide additional evidence that N51M/Y/P/T/D/S/K/Q substitutions in the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region re</w:t>
      </w:r>
      <w:r w:rsidR="00EF225C">
        <w:rPr>
          <w:rFonts w:eastAsia="Times New Roman"/>
          <w:shd w:val="clear" w:color="auto" w:fill="auto"/>
          <w:lang w:eastAsia="ja-JP"/>
        </w:rPr>
        <w:t>pres</w:t>
      </w:r>
      <w:r w:rsidRPr="00AD5DCE">
        <w:rPr>
          <w:rFonts w:eastAsia="Times New Roman"/>
          <w:shd w:val="clear" w:color="auto" w:fill="auto"/>
          <w:lang w:eastAsia="ja-JP"/>
        </w:rPr>
        <w:t>ent a potential risk marker for HCC in HBsAg-positive individuals.</w:t>
      </w:r>
    </w:p>
    <w:p w14:paraId="673334A1" w14:textId="2AB0B433"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NTCP is well recognized as both a bile acid transporter and the primary entry receptor for HBV. The NTCP S267F variant (rs2296651, c.800C&gt;T) is a functional polymorphism of </w:t>
      </w:r>
      <w:r w:rsidR="00374D18" w:rsidRPr="00374D18">
        <w:rPr>
          <w:rFonts w:eastAsia="Times New Roman"/>
          <w:b/>
          <w:bCs/>
          <w:i/>
          <w:iCs/>
          <w:shd w:val="clear" w:color="auto" w:fill="auto"/>
          <w:lang w:eastAsia="ja-JP"/>
        </w:rPr>
        <w:t>SLC10A1</w:t>
      </w:r>
      <w:r w:rsidRPr="00AD5DCE">
        <w:rPr>
          <w:rFonts w:eastAsia="Times New Roman"/>
          <w:shd w:val="clear" w:color="auto" w:fill="auto"/>
          <w:lang w:eastAsia="ja-JP"/>
        </w:rPr>
        <w:t xml:space="preserve"> that has been shown to reduce HBV entry and lower the risk of HCC and </w:t>
      </w:r>
      <w:r w:rsidR="0049643F">
        <w:rPr>
          <w:rFonts w:eastAsia="Times New Roman"/>
          <w:shd w:val="clear" w:color="auto" w:fill="auto"/>
          <w:lang w:eastAsia="ja-JP"/>
        </w:rPr>
        <w:t>LC</w:t>
      </w:r>
      <w:r w:rsidRPr="00AD5DCE">
        <w:rPr>
          <w:rFonts w:eastAsia="Times New Roman"/>
          <w:shd w:val="clear" w:color="auto" w:fill="auto"/>
          <w:lang w:eastAsia="ja-JP"/>
        </w:rPr>
        <w:t xml:space="preserve">. Consistent with this, our results demonstrated that participants carrying the CT genotype had a twofold lower risk of developing </w:t>
      </w:r>
      <w:r w:rsidRPr="00AD5DCE">
        <w:rPr>
          <w:rFonts w:eastAsia="Times New Roman"/>
          <w:shd w:val="clear" w:color="auto" w:fill="auto"/>
          <w:lang w:eastAsia="ja-JP"/>
        </w:rPr>
        <w:lastRenderedPageBreak/>
        <w:t>chronic liver diseases (CHB, LC, and HCC) compared with those carrying the wild-type CC genotype (OR=0.5; p=0.013).</w:t>
      </w:r>
    </w:p>
    <w:p w14:paraId="3276F123" w14:textId="77777777"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Mechanistically, the protective effect of S267F is thought to result from structural disruption caused by the hydrophobic phenylalanine residue, which interferes with HBV/HDV binding and entry. Additionally, this variant reduces bile acid transport activity, potentially mitigating bile acid–induced hepatocellular injury and inflammation, thereby enhancing resistance to chronic liver disease. Other mechanisms involving innate immune modulation and oncogenic signaling pathways, such as Wnt/β-catenin, require further investigation.</w:t>
      </w:r>
    </w:p>
    <w:p w14:paraId="180D8DBB" w14:textId="3FCE39BF"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When stratified by disease group, similar protective effects were observed, with a 60% reduction in </w:t>
      </w:r>
      <w:r w:rsidR="0049643F">
        <w:rPr>
          <w:rFonts w:eastAsia="Times New Roman"/>
          <w:shd w:val="clear" w:color="auto" w:fill="auto"/>
          <w:lang w:eastAsia="ja-JP"/>
        </w:rPr>
        <w:t>LC</w:t>
      </w:r>
      <w:r w:rsidRPr="00AD5DCE">
        <w:rPr>
          <w:rFonts w:eastAsia="Times New Roman"/>
          <w:shd w:val="clear" w:color="auto" w:fill="auto"/>
          <w:lang w:eastAsia="ja-JP"/>
        </w:rPr>
        <w:t xml:space="preserve"> risk and a 70% reduction in CHB risk. These findings align with broad consensus regarding the protective role of S267F in East Asian populations. However, no statistically significant association was observed between the S267F variant and HCC risk alone, potentially due to limited subgroup sample size (low frequency of heterozygous CT genotype). Alternatively, the protective effect of S267F may be attenuated or overshadowed by complex carcinogenic mechanisms in advanced disease stages.</w:t>
      </w:r>
    </w:p>
    <w:p w14:paraId="5B02F362" w14:textId="39F9CCD3" w:rsidR="00AD5DCE" w:rsidRPr="00AD5DCE" w:rsidRDefault="00AD5DCE" w:rsidP="00802113">
      <w:pPr>
        <w:spacing w:line="290" w:lineRule="atLeast"/>
        <w:ind w:firstLine="720"/>
        <w:rPr>
          <w:rFonts w:eastAsia="Times New Roman"/>
          <w:shd w:val="clear" w:color="auto" w:fill="auto"/>
          <w:lang w:eastAsia="ja-JP"/>
        </w:rPr>
      </w:pPr>
      <w:r w:rsidRPr="00AD5DCE">
        <w:rPr>
          <w:rFonts w:eastAsia="Times New Roman"/>
          <w:shd w:val="clear" w:color="auto" w:fill="auto"/>
          <w:lang w:eastAsia="ja-JP"/>
        </w:rPr>
        <w:t xml:space="preserve">In multivariable logistic regression analysis incorporating HBV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mutations in 273 participants, five factors remained independently associated with HCC: age, sex, AFP level, prothrombin percentage, and amino acid substitutions at codon 51 of the </w:t>
      </w:r>
      <w:r w:rsidR="00EF225C">
        <w:rPr>
          <w:rFonts w:eastAsia="Times New Roman"/>
          <w:shd w:val="clear" w:color="auto" w:fill="auto"/>
          <w:lang w:eastAsia="ja-JP"/>
        </w:rPr>
        <w:t>preS</w:t>
      </w:r>
      <w:r w:rsidRPr="00AD5DCE">
        <w:rPr>
          <w:rFonts w:eastAsia="Times New Roman"/>
          <w:shd w:val="clear" w:color="auto" w:fill="auto"/>
          <w:lang w:eastAsia="ja-JP"/>
        </w:rPr>
        <w:t xml:space="preserve"> gene. The regression coefficients and significance levels of age, sex, AFP, and prothrombin percentage were comparable to those observed in the larger model of 429 participants. Notably, codon 51 mutations (N51M/Y/P/T/D/S/K/Q; H51Q/R/N/P; P51H) were associated with a 3.2-fold increased risk of HCC. These findings highlight the particular relevance of codon 51 substitutions in HCC and reaffirm the importance of classical risk factors such as age, AFP, and liver function in HBV-related hepatocarcinogenesis.</w:t>
      </w:r>
    </w:p>
    <w:p w14:paraId="2824EE33" w14:textId="77777777" w:rsidR="00802113" w:rsidRDefault="00802113">
      <w:pPr>
        <w:spacing w:after="200"/>
        <w:ind w:firstLine="0"/>
        <w:jc w:val="left"/>
        <w:rPr>
          <w:rFonts w:eastAsia="Times New Roman"/>
          <w:b/>
          <w:bCs/>
          <w:shd w:val="clear" w:color="auto" w:fill="auto"/>
          <w:lang w:eastAsia="ja-JP"/>
        </w:rPr>
      </w:pPr>
      <w:r>
        <w:rPr>
          <w:rFonts w:eastAsia="Times New Roman"/>
          <w:b/>
          <w:bCs/>
          <w:shd w:val="clear" w:color="auto" w:fill="auto"/>
          <w:lang w:eastAsia="ja-JP"/>
        </w:rPr>
        <w:br w:type="page"/>
      </w:r>
    </w:p>
    <w:p w14:paraId="7B06C6E4" w14:textId="6A7BBD95" w:rsidR="00AD5DCE" w:rsidRPr="00AD5DCE" w:rsidRDefault="00AD5DCE" w:rsidP="00802113">
      <w:pPr>
        <w:numPr>
          <w:ilvl w:val="0"/>
          <w:numId w:val="6"/>
        </w:numPr>
        <w:spacing w:line="290" w:lineRule="atLeast"/>
        <w:ind w:left="0" w:firstLine="0"/>
        <w:jc w:val="center"/>
        <w:outlineLvl w:val="1"/>
        <w:rPr>
          <w:rFonts w:eastAsia="Times New Roman"/>
          <w:b/>
          <w:bCs/>
          <w:shd w:val="clear" w:color="auto" w:fill="auto"/>
          <w:lang w:eastAsia="ja-JP"/>
        </w:rPr>
      </w:pPr>
      <w:r w:rsidRPr="00AD5DCE">
        <w:rPr>
          <w:rFonts w:eastAsia="Times New Roman"/>
          <w:b/>
          <w:bCs/>
          <w:shd w:val="clear" w:color="auto" w:fill="auto"/>
          <w:lang w:eastAsia="ja-JP"/>
        </w:rPr>
        <w:lastRenderedPageBreak/>
        <w:t>CONCLUSIONS</w:t>
      </w:r>
    </w:p>
    <w:p w14:paraId="4E091249" w14:textId="1FD52972" w:rsidR="00AD5DCE" w:rsidRPr="00AD5DCE" w:rsidRDefault="00AD5DCE" w:rsidP="00802113">
      <w:pPr>
        <w:spacing w:line="290" w:lineRule="atLeast"/>
        <w:ind w:firstLine="0"/>
        <w:outlineLvl w:val="2"/>
        <w:rPr>
          <w:rFonts w:eastAsia="Times New Roman"/>
          <w:b/>
          <w:bCs/>
          <w:shd w:val="clear" w:color="auto" w:fill="auto"/>
          <w:lang w:eastAsia="ja-JP"/>
        </w:rPr>
      </w:pPr>
      <w:r w:rsidRPr="00AD5DCE">
        <w:rPr>
          <w:rFonts w:eastAsia="Times New Roman"/>
          <w:b/>
          <w:bCs/>
          <w:shd w:val="clear" w:color="auto" w:fill="auto"/>
          <w:lang w:eastAsia="ja-JP"/>
        </w:rPr>
        <w:t xml:space="preserve">1. Prevalence of HBV </w:t>
      </w:r>
      <w:r w:rsidR="00EF225C">
        <w:rPr>
          <w:rFonts w:eastAsia="Times New Roman"/>
          <w:b/>
          <w:bCs/>
          <w:i/>
          <w:iCs/>
          <w:shd w:val="clear" w:color="auto" w:fill="auto"/>
          <w:lang w:eastAsia="ja-JP"/>
        </w:rPr>
        <w:t>preS/S mutations</w:t>
      </w:r>
      <w:r w:rsidRPr="00AD5DCE">
        <w:rPr>
          <w:rFonts w:eastAsia="Times New Roman"/>
          <w:b/>
          <w:bCs/>
          <w:shd w:val="clear" w:color="auto" w:fill="auto"/>
          <w:lang w:eastAsia="ja-JP"/>
        </w:rPr>
        <w:t xml:space="preserve"> and the </w:t>
      </w:r>
      <w:r w:rsidR="005B5D37">
        <w:rPr>
          <w:rFonts w:eastAsia="Times New Roman"/>
          <w:b/>
          <w:bCs/>
          <w:shd w:val="clear" w:color="auto" w:fill="auto"/>
          <w:lang w:eastAsia="ja-JP"/>
        </w:rPr>
        <w:t>NTCP S267F variant</w:t>
      </w:r>
      <w:r w:rsidRPr="00AD5DCE">
        <w:rPr>
          <w:rFonts w:eastAsia="Times New Roman"/>
          <w:b/>
          <w:bCs/>
          <w:shd w:val="clear" w:color="auto" w:fill="auto"/>
          <w:lang w:eastAsia="ja-JP"/>
        </w:rPr>
        <w:t xml:space="preserve"> in Patients with Hepatocellular Carcinoma</w:t>
      </w:r>
    </w:p>
    <w:p w14:paraId="4D0F654B" w14:textId="77777777" w:rsidR="00AD5DCE" w:rsidRPr="00AD5DCE" w:rsidRDefault="00AD5DCE" w:rsidP="00802113">
      <w:pPr>
        <w:spacing w:line="290" w:lineRule="atLeast"/>
        <w:rPr>
          <w:rFonts w:eastAsia="Times New Roman"/>
          <w:shd w:val="clear" w:color="auto" w:fill="auto"/>
          <w:lang w:eastAsia="ja-JP"/>
        </w:rPr>
      </w:pPr>
      <w:r w:rsidRPr="00AD5DCE">
        <w:rPr>
          <w:rFonts w:eastAsia="Times New Roman"/>
          <w:shd w:val="clear" w:color="auto" w:fill="auto"/>
          <w:lang w:eastAsia="ja-JP"/>
        </w:rPr>
        <w:t>In the HCC group, codons with the highest mutation frequencies included codons 90, 101, 104, 152, 154, 160, 164, and 165 (70.0–71.1%), followed by codons 167, 39, and 55 (56.7%, 64.4%, and 67.8%, respectively). Other codons with mutation frequencies above 10% included codons 27, 35, 48, 51, 54, 56, 57, 60, 62, 73, 84, 95, 109, 120, 125, 141, 156, and 158.</w:t>
      </w:r>
    </w:p>
    <w:p w14:paraId="62ADC1DD" w14:textId="005021EE" w:rsidR="00AD5DCE" w:rsidRPr="00AD5DCE" w:rsidRDefault="00AD5DCE" w:rsidP="00802113">
      <w:pPr>
        <w:spacing w:line="290" w:lineRule="atLeast"/>
        <w:rPr>
          <w:rFonts w:eastAsia="Times New Roman"/>
          <w:shd w:val="clear" w:color="auto" w:fill="auto"/>
          <w:lang w:eastAsia="ja-JP"/>
        </w:rPr>
      </w:pPr>
      <w:r w:rsidRPr="00AD5DCE">
        <w:rPr>
          <w:rFonts w:eastAsia="Times New Roman"/>
          <w:shd w:val="clear" w:color="auto" w:fill="auto"/>
          <w:lang w:eastAsia="ja-JP"/>
        </w:rPr>
        <w:t xml:space="preserve">The prevalence of the NTCP S267F variant (CT genotype) among HBsAg-positive HCC patients was 16.9% (39/231), significantly higher than that observed in HBsAg-positive </w:t>
      </w:r>
      <w:r w:rsidR="0049643F">
        <w:rPr>
          <w:rFonts w:eastAsia="Times New Roman"/>
          <w:shd w:val="clear" w:color="auto" w:fill="auto"/>
          <w:lang w:eastAsia="ja-JP"/>
        </w:rPr>
        <w:t>LC</w:t>
      </w:r>
      <w:r w:rsidRPr="00AD5DCE">
        <w:rPr>
          <w:rFonts w:eastAsia="Times New Roman"/>
          <w:shd w:val="clear" w:color="auto" w:fill="auto"/>
          <w:lang w:eastAsia="ja-JP"/>
        </w:rPr>
        <w:t xml:space="preserve"> patients (6.2%; 6/96) and CHB patients (5.9%; 6/102) (p&lt;0.05). The prevalence in the control group was 19.1% (60/314).</w:t>
      </w:r>
    </w:p>
    <w:p w14:paraId="3EF33066" w14:textId="569A86C1" w:rsidR="00AD5DCE" w:rsidRPr="00AD5DCE" w:rsidRDefault="00AD5DCE" w:rsidP="00802113">
      <w:pPr>
        <w:spacing w:line="290" w:lineRule="atLeast"/>
        <w:ind w:firstLine="0"/>
        <w:outlineLvl w:val="2"/>
        <w:rPr>
          <w:rFonts w:eastAsia="Times New Roman"/>
          <w:b/>
          <w:bCs/>
          <w:shd w:val="clear" w:color="auto" w:fill="auto"/>
          <w:lang w:eastAsia="ja-JP"/>
        </w:rPr>
      </w:pPr>
      <w:r w:rsidRPr="00AD5DCE">
        <w:rPr>
          <w:rFonts w:eastAsia="Times New Roman"/>
          <w:b/>
          <w:bCs/>
          <w:shd w:val="clear" w:color="auto" w:fill="auto"/>
          <w:lang w:eastAsia="ja-JP"/>
        </w:rPr>
        <w:t xml:space="preserve">2. Associations between HBV </w:t>
      </w:r>
      <w:r w:rsidR="00EF225C">
        <w:rPr>
          <w:rFonts w:eastAsia="Times New Roman"/>
          <w:b/>
          <w:bCs/>
          <w:i/>
          <w:iCs/>
          <w:shd w:val="clear" w:color="auto" w:fill="auto"/>
          <w:lang w:eastAsia="ja-JP"/>
        </w:rPr>
        <w:t>preS/S mutations</w:t>
      </w:r>
      <w:r w:rsidRPr="00AD5DCE">
        <w:rPr>
          <w:rFonts w:eastAsia="Times New Roman"/>
          <w:b/>
          <w:bCs/>
          <w:shd w:val="clear" w:color="auto" w:fill="auto"/>
          <w:lang w:eastAsia="ja-JP"/>
        </w:rPr>
        <w:t xml:space="preserve">, the </w:t>
      </w:r>
      <w:r w:rsidR="005B5D37">
        <w:rPr>
          <w:rFonts w:eastAsia="Times New Roman"/>
          <w:b/>
          <w:bCs/>
          <w:shd w:val="clear" w:color="auto" w:fill="auto"/>
          <w:lang w:eastAsia="ja-JP"/>
        </w:rPr>
        <w:t>NTCP S267F variant</w:t>
      </w:r>
      <w:r w:rsidRPr="00AD5DCE">
        <w:rPr>
          <w:rFonts w:eastAsia="Times New Roman"/>
          <w:b/>
          <w:bCs/>
          <w:shd w:val="clear" w:color="auto" w:fill="auto"/>
          <w:lang w:eastAsia="ja-JP"/>
        </w:rPr>
        <w:t>, and Clinical Characteristics in HBsAg-Positive HCC</w:t>
      </w:r>
    </w:p>
    <w:p w14:paraId="12948F3A" w14:textId="168E9F1B" w:rsidR="00AD5DCE" w:rsidRPr="00AD5DCE" w:rsidRDefault="00AD5DCE" w:rsidP="00802113">
      <w:pPr>
        <w:spacing w:line="290" w:lineRule="atLeast"/>
        <w:rPr>
          <w:rFonts w:eastAsia="Times New Roman"/>
          <w:shd w:val="clear" w:color="auto" w:fill="auto"/>
          <w:lang w:eastAsia="ja-JP"/>
        </w:rPr>
      </w:pPr>
      <w:r w:rsidRPr="00AD5DCE">
        <w:rPr>
          <w:rFonts w:eastAsia="Times New Roman"/>
          <w:shd w:val="clear" w:color="auto" w:fill="auto"/>
          <w:lang w:eastAsia="ja-JP"/>
        </w:rPr>
        <w:t xml:space="preserve">Among participants with chronic HBV infection carrying genotype B, the </w:t>
      </w:r>
      <w:r w:rsidR="00EF225C">
        <w:rPr>
          <w:rFonts w:eastAsia="Times New Roman"/>
          <w:shd w:val="clear" w:color="auto" w:fill="auto"/>
          <w:lang w:eastAsia="ja-JP"/>
        </w:rPr>
        <w:t>pres</w:t>
      </w:r>
      <w:r w:rsidRPr="00AD5DCE">
        <w:rPr>
          <w:rFonts w:eastAsia="Times New Roman"/>
          <w:shd w:val="clear" w:color="auto" w:fill="auto"/>
          <w:lang w:eastAsia="ja-JP"/>
        </w:rPr>
        <w:t xml:space="preserve">ence of the N51M/Y/P/T/D/S/K/Q mutation in the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gene was associated with a fivefold increased risk of HCC (OR=5.0; 95% CI: 1.2–20.8) compared with those without this mutation.</w:t>
      </w:r>
    </w:p>
    <w:p w14:paraId="68475333" w14:textId="77777777" w:rsidR="00AD5DCE" w:rsidRPr="00AD5DCE" w:rsidRDefault="00AD5DCE" w:rsidP="00802113">
      <w:pPr>
        <w:spacing w:line="290" w:lineRule="atLeast"/>
        <w:rPr>
          <w:rFonts w:eastAsia="Times New Roman"/>
          <w:shd w:val="clear" w:color="auto" w:fill="auto"/>
          <w:lang w:eastAsia="ja-JP"/>
        </w:rPr>
      </w:pPr>
      <w:r w:rsidRPr="00AD5DCE">
        <w:rPr>
          <w:rFonts w:eastAsia="Times New Roman"/>
          <w:shd w:val="clear" w:color="auto" w:fill="auto"/>
          <w:lang w:eastAsia="ja-JP"/>
        </w:rPr>
        <w:t>The frequency of the T125P/A/I/N/S mutation was significantly lower in participants carrying the NTCP S267F variant (CT genotype) (7.7%; 2/26) than in those with the CC genotype (28.7%; 71/257) (p=0.035), whereas the T167K/M/R mutation was more frequent in the CT genotype group (76.9%; 20/26) than in the CC genotype group (56.3%; 139/257) (p=0.038).</w:t>
      </w:r>
    </w:p>
    <w:p w14:paraId="6D6AC9E4" w14:textId="597002CA" w:rsidR="00AD5DCE" w:rsidRPr="00AD5DCE" w:rsidRDefault="00AD5DCE" w:rsidP="00802113">
      <w:pPr>
        <w:spacing w:line="290" w:lineRule="atLeast"/>
        <w:rPr>
          <w:rFonts w:eastAsia="Times New Roman"/>
          <w:b/>
          <w:color w:val="000000" w:themeColor="text1"/>
        </w:rPr>
      </w:pPr>
      <w:r w:rsidRPr="00AD5DCE">
        <w:rPr>
          <w:rFonts w:eastAsia="Times New Roman"/>
          <w:shd w:val="clear" w:color="auto" w:fill="auto"/>
          <w:lang w:eastAsia="ja-JP"/>
        </w:rPr>
        <w:t xml:space="preserve">Age group (41–59 years and ≥60 years), elevated AFP levels (&gt;400 ng/mL), reduced prothrombin percentage, and amino acid substitutions at codon 51 of the </w:t>
      </w:r>
      <w:r w:rsidR="00EF225C">
        <w:rPr>
          <w:rFonts w:eastAsia="Times New Roman"/>
          <w:i/>
          <w:iCs/>
          <w:shd w:val="clear" w:color="auto" w:fill="auto"/>
          <w:lang w:eastAsia="ja-JP"/>
        </w:rPr>
        <w:t>preS</w:t>
      </w:r>
      <w:r w:rsidR="005B5D37" w:rsidRPr="005B5D37">
        <w:rPr>
          <w:rFonts w:eastAsia="Times New Roman"/>
          <w:i/>
          <w:iCs/>
          <w:shd w:val="clear" w:color="auto" w:fill="auto"/>
          <w:lang w:eastAsia="ja-JP"/>
        </w:rPr>
        <w:t>/S</w:t>
      </w:r>
      <w:r w:rsidRPr="00AD5DCE">
        <w:rPr>
          <w:rFonts w:eastAsia="Times New Roman"/>
          <w:shd w:val="clear" w:color="auto" w:fill="auto"/>
          <w:lang w:eastAsia="ja-JP"/>
        </w:rPr>
        <w:t xml:space="preserve"> gene (H51Q/R/N/P; N51M/Y/P/T/D/S/K/Q; P51H) were associated with an increased risk of HCC (OR range: 2.5–16.5; p&lt;0.05). Female sex was associated with a 3.6-fold lower risk of HCC (OR=0.28; p=0.011).</w:t>
      </w:r>
      <w:r w:rsidRPr="00AD5DCE">
        <w:br w:type="page"/>
      </w:r>
    </w:p>
    <w:p w14:paraId="7CD438A3" w14:textId="77777777" w:rsidR="00802113" w:rsidRDefault="00802113" w:rsidP="00374D18">
      <w:pPr>
        <w:pStyle w:val="Title"/>
        <w:ind w:firstLine="0"/>
        <w:rPr>
          <w:lang w:val="es-ES"/>
        </w:rPr>
        <w:sectPr w:rsidR="00802113" w:rsidSect="003343FB">
          <w:headerReference w:type="default" r:id="rId15"/>
          <w:pgSz w:w="8420" w:h="11907" w:orient="landscape" w:code="9"/>
          <w:pgMar w:top="1134" w:right="1134" w:bottom="1134" w:left="1134" w:header="567" w:footer="567" w:gutter="0"/>
          <w:pgNumType w:start="1"/>
          <w:cols w:space="720"/>
          <w:docGrid w:linePitch="360"/>
        </w:sectPr>
      </w:pPr>
    </w:p>
    <w:p w14:paraId="6779110F" w14:textId="7B440DD9" w:rsidR="00374D18" w:rsidRDefault="00374D18" w:rsidP="00374D18">
      <w:pPr>
        <w:pStyle w:val="Title"/>
        <w:ind w:firstLine="0"/>
        <w:rPr>
          <w:lang w:val="es-ES"/>
        </w:rPr>
      </w:pPr>
      <w:r w:rsidRPr="00F76A65">
        <w:rPr>
          <w:lang w:val="es-ES"/>
        </w:rPr>
        <w:lastRenderedPageBreak/>
        <w:t>LIST OF WORKS ANNOUNCING THE RESEARCH RESULTS OF THE THESIS TOPIC</w:t>
      </w:r>
    </w:p>
    <w:p w14:paraId="63C8E447" w14:textId="77777777" w:rsidR="004A178E" w:rsidRPr="003040BC" w:rsidRDefault="004A178E" w:rsidP="004A178E">
      <w:pPr>
        <w:widowControl w:val="0"/>
        <w:spacing w:line="340" w:lineRule="exact"/>
        <w:ind w:firstLine="0"/>
        <w:rPr>
          <w:rFonts w:eastAsia="MS Mincho"/>
          <w:iCs/>
          <w:lang w:val="vi-VN" w:eastAsia="ko-KR"/>
        </w:rPr>
      </w:pPr>
      <w:r w:rsidRPr="003040BC">
        <w:rPr>
          <w:rFonts w:eastAsia="MS Mincho"/>
          <w:iCs/>
          <w:lang w:val="vi-VN" w:eastAsia="ko-KR"/>
        </w:rPr>
        <w:t>1.</w:t>
      </w:r>
      <w:r w:rsidRPr="003040BC">
        <w:rPr>
          <w:rFonts w:eastAsia="MS Mincho"/>
          <w:iCs/>
          <w:lang w:val="vi-VN" w:eastAsia="ko-KR"/>
        </w:rPr>
        <w:tab/>
        <w:t>Pham Xuan Huy, Le Chi Cao, Dao Thi Huyen, Tran Thi Thu Hien, Truong Nhat My, Tran Thi Thanh Huyen, Le Huu Song, Thirumalaisamy P. Velavan, Nguyen Linh Toan (2025). Protective Role of the NTCP S267F Variant Against HBV Infection and Cirrhosis in the Vietnamese Population. Journal of Medical Virology, 97(11): e70678, DOI:10.1002/jmv.70678.</w:t>
      </w:r>
    </w:p>
    <w:p w14:paraId="5D1BD3F0" w14:textId="555E0027" w:rsidR="000C0E0F" w:rsidRPr="00AD5DCE" w:rsidRDefault="004A178E" w:rsidP="004A178E">
      <w:pPr>
        <w:pStyle w:val="Title"/>
        <w:ind w:firstLine="0"/>
        <w:jc w:val="both"/>
        <w:rPr>
          <w:b w:val="0"/>
          <w:bCs/>
          <w:lang w:val="es-ES"/>
        </w:rPr>
      </w:pPr>
      <w:r w:rsidRPr="004A178E">
        <w:rPr>
          <w:b w:val="0"/>
          <w:bCs/>
          <w:lang w:val="es-ES"/>
        </w:rPr>
        <w:t xml:space="preserve">2. </w:t>
      </w:r>
      <w:r>
        <w:rPr>
          <w:b w:val="0"/>
          <w:bCs/>
          <w:lang w:val="vi-VN"/>
        </w:rPr>
        <w:tab/>
      </w:r>
      <w:r>
        <w:rPr>
          <w:b w:val="0"/>
          <w:bCs/>
          <w:lang w:val="vi-VN"/>
        </w:rPr>
        <w:tab/>
      </w:r>
      <w:r>
        <w:rPr>
          <w:b w:val="0"/>
          <w:bCs/>
          <w:lang w:val="vi-VN"/>
        </w:rPr>
        <w:tab/>
      </w:r>
      <w:r w:rsidRPr="004A178E">
        <w:rPr>
          <w:b w:val="0"/>
          <w:bCs/>
          <w:lang w:val="es-ES"/>
        </w:rPr>
        <w:t>Pham Xuan Huy, Nguyen Tien Manh, Tran Thi Thu Hien, Dao Thi Huyen, Thirumalaisamy P. Velavan, Nguyen Linh Toan (2025). PreS/S gene mutations of HBV and NTCP S267F variant in patients with chronic hepatitis B, cirrhosis and hepatocellular carcinoma with HBsAg ( ). Journal of Community Medicine, 66 (CD 20): 336-342, DOI: https://doi.org/10.52163/yhc.v66iCD20.3640.</w:t>
      </w:r>
    </w:p>
    <w:sectPr w:rsidR="000C0E0F" w:rsidRPr="00AD5DCE" w:rsidSect="003343FB">
      <w:headerReference w:type="default" r:id="rId16"/>
      <w:pgSz w:w="8420" w:h="11907" w:orient="landscape" w:code="9"/>
      <w:pgMar w:top="1134" w:right="1134" w:bottom="1134" w:left="1134" w:header="567"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8B186D" w14:textId="77777777" w:rsidR="000E4055" w:rsidRDefault="000E4055" w:rsidP="00E75B07">
      <w:r>
        <w:separator/>
      </w:r>
    </w:p>
  </w:endnote>
  <w:endnote w:type="continuationSeparator" w:id="0">
    <w:p w14:paraId="4673B942" w14:textId="77777777" w:rsidR="000E4055" w:rsidRDefault="000E4055" w:rsidP="00E75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8DF03" w14:textId="77777777" w:rsidR="000E4055" w:rsidRDefault="000E4055" w:rsidP="00E75B07">
      <w:r>
        <w:separator/>
      </w:r>
    </w:p>
  </w:footnote>
  <w:footnote w:type="continuationSeparator" w:id="0">
    <w:p w14:paraId="042206BB" w14:textId="77777777" w:rsidR="000E4055" w:rsidRDefault="000E4055" w:rsidP="00E75B0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2093154610"/>
      <w:docPartObj>
        <w:docPartGallery w:val="Page Numbers (Top of Page)"/>
        <w:docPartUnique/>
      </w:docPartObj>
    </w:sdtPr>
    <w:sdtEndPr>
      <w:rPr>
        <w:rStyle w:val="PageNumber"/>
      </w:rPr>
    </w:sdtEndPr>
    <w:sdtContent>
      <w:p w14:paraId="46035001" w14:textId="48756849" w:rsidR="00C20776" w:rsidRDefault="00C20776" w:rsidP="00A12639">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FE8049B" w14:textId="77777777" w:rsidR="00C20776" w:rsidRDefault="00C2077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9E268" w14:textId="77777777" w:rsidR="00C20776" w:rsidRDefault="00C20776" w:rsidP="00E75B07">
    <w:pPr>
      <w:pStyle w:val="Header"/>
    </w:pPr>
  </w:p>
  <w:p w14:paraId="234F8E31" w14:textId="77777777" w:rsidR="00C20776" w:rsidRPr="00146776" w:rsidRDefault="00C20776" w:rsidP="00E75B0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4A390B" w14:textId="77777777" w:rsidR="00C20776" w:rsidRPr="00A2709D" w:rsidRDefault="00C20776" w:rsidP="00E75B07">
    <w:pPr>
      <w:pStyle w:val="Header"/>
    </w:pPr>
    <w:r w:rsidRPr="00A2709D">
      <w:t>60</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A160AA" w14:textId="01C38547" w:rsidR="00C20776" w:rsidRDefault="00C20776">
    <w:pPr>
      <w:pStyle w:val="Header"/>
      <w:jc w:val="center"/>
    </w:pPr>
  </w:p>
  <w:p w14:paraId="49540843" w14:textId="77777777" w:rsidR="00C20776" w:rsidRPr="00146776" w:rsidRDefault="00C20776" w:rsidP="00E75B07">
    <w:pPr>
      <w:pStyle w:val="Heade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85549150"/>
      <w:docPartObj>
        <w:docPartGallery w:val="Page Numbers (Top of Page)"/>
        <w:docPartUnique/>
      </w:docPartObj>
    </w:sdtPr>
    <w:sdtEndPr>
      <w:rPr>
        <w:noProof/>
      </w:rPr>
    </w:sdtEndPr>
    <w:sdtContent>
      <w:p w14:paraId="46088E33" w14:textId="10BFE322" w:rsidR="00AA2D6C" w:rsidRDefault="00AA2D6C">
        <w:pPr>
          <w:pStyle w:val="Header"/>
          <w:jc w:val="center"/>
        </w:pPr>
        <w:r>
          <w:fldChar w:fldCharType="begin"/>
        </w:r>
        <w:r>
          <w:instrText xml:space="preserve"> PAGE   \* MERGEFORMAT </w:instrText>
        </w:r>
        <w:r>
          <w:fldChar w:fldCharType="separate"/>
        </w:r>
        <w:r w:rsidR="00C73846">
          <w:rPr>
            <w:noProof/>
          </w:rPr>
          <w:t>24</w:t>
        </w:r>
        <w:r>
          <w:rPr>
            <w:noProof/>
          </w:rPr>
          <w:fldChar w:fldCharType="end"/>
        </w:r>
      </w:p>
    </w:sdtContent>
  </w:sdt>
  <w:p w14:paraId="53B1A500" w14:textId="77777777" w:rsidR="00C20776" w:rsidRPr="00146776" w:rsidRDefault="00C20776" w:rsidP="00E75B07">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8FA5FB" w14:textId="1AEEE833" w:rsidR="00802113" w:rsidRDefault="00802113">
    <w:pPr>
      <w:pStyle w:val="Header"/>
      <w:jc w:val="center"/>
    </w:pPr>
  </w:p>
  <w:p w14:paraId="2ADF5F1C" w14:textId="77777777" w:rsidR="00802113" w:rsidRPr="00146776" w:rsidRDefault="00802113" w:rsidP="00E75B0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6539"/>
    <w:multiLevelType w:val="multilevel"/>
    <w:tmpl w:val="23CC8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D7CA8"/>
    <w:multiLevelType w:val="hybridMultilevel"/>
    <w:tmpl w:val="99109D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E00888"/>
    <w:multiLevelType w:val="hybridMultilevel"/>
    <w:tmpl w:val="045A68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F4E6C"/>
    <w:multiLevelType w:val="hybridMultilevel"/>
    <w:tmpl w:val="EB06F522"/>
    <w:lvl w:ilvl="0" w:tplc="AA60A54C">
      <w:start w:val="2"/>
      <w:numFmt w:val="bullet"/>
      <w:lvlText w:val="-"/>
      <w:lvlJc w:val="left"/>
      <w:pPr>
        <w:ind w:left="990" w:hanging="360"/>
      </w:pPr>
      <w:rPr>
        <w:rFonts w:ascii="Times New Roman" w:eastAsia="Times New Roman" w:hAnsi="Times New Roman" w:cs="Times New Roman" w:hint="default"/>
        <w:b w:val="0"/>
        <w:i w:val="0"/>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BE26CC"/>
    <w:multiLevelType w:val="hybridMultilevel"/>
    <w:tmpl w:val="129AF4BE"/>
    <w:lvl w:ilvl="0" w:tplc="DB3408E2">
      <w:numFmt w:val="bullet"/>
      <w:lvlText w:val="-"/>
      <w:lvlJc w:val="left"/>
      <w:pPr>
        <w:ind w:left="720" w:hanging="360"/>
      </w:pPr>
      <w:rPr>
        <w:rFonts w:ascii="Times New Roman" w:eastAsiaTheme="minorHAnsi"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5E3B2E"/>
    <w:multiLevelType w:val="multilevel"/>
    <w:tmpl w:val="450A0A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C05296"/>
    <w:multiLevelType w:val="multilevel"/>
    <w:tmpl w:val="1324C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497ABC"/>
    <w:multiLevelType w:val="hybridMultilevel"/>
    <w:tmpl w:val="9C3C0F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6FD14E0"/>
    <w:multiLevelType w:val="hybridMultilevel"/>
    <w:tmpl w:val="E828E24A"/>
    <w:lvl w:ilvl="0" w:tplc="E842C61C">
      <w:start w:val="1"/>
      <w:numFmt w:val="decimal"/>
      <w:lvlText w:val="%1."/>
      <w:lvlJc w:val="left"/>
      <w:pPr>
        <w:ind w:left="720" w:hanging="360"/>
      </w:pPr>
      <w:rPr>
        <w:b w:val="0"/>
        <w:bCs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203830EF"/>
    <w:multiLevelType w:val="hybridMultilevel"/>
    <w:tmpl w:val="17DA6680"/>
    <w:lvl w:ilvl="0" w:tplc="7A8AA672">
      <w:start w:val="160"/>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A90AEB"/>
    <w:multiLevelType w:val="multilevel"/>
    <w:tmpl w:val="09648C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5EB6542"/>
    <w:multiLevelType w:val="hybridMultilevel"/>
    <w:tmpl w:val="7B60A882"/>
    <w:lvl w:ilvl="0" w:tplc="4726EAB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8E52587"/>
    <w:multiLevelType w:val="hybridMultilevel"/>
    <w:tmpl w:val="AA343DB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AD30A1A"/>
    <w:multiLevelType w:val="multilevel"/>
    <w:tmpl w:val="5E2E6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3551D5"/>
    <w:multiLevelType w:val="hybridMultilevel"/>
    <w:tmpl w:val="D090D12C"/>
    <w:lvl w:ilvl="0" w:tplc="FCD2C668">
      <w:start w:val="3"/>
      <w:numFmt w:val="bullet"/>
      <w:lvlText w:val="-"/>
      <w:lvlJc w:val="left"/>
      <w:pPr>
        <w:ind w:left="1494"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262228A"/>
    <w:multiLevelType w:val="multilevel"/>
    <w:tmpl w:val="A64E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EB4D72"/>
    <w:multiLevelType w:val="multilevel"/>
    <w:tmpl w:val="175C8E66"/>
    <w:lvl w:ilvl="0">
      <w:start w:val="1"/>
      <w:numFmt w:val="decimal"/>
      <w:pStyle w:val="Heading1"/>
      <w:lvlText w:val="%1."/>
      <w:lvlJc w:val="left"/>
      <w:pPr>
        <w:ind w:left="432" w:hanging="432"/>
      </w:pPr>
      <w:rPr>
        <w:rFonts w:hint="default"/>
        <w:color w:val="FFFFFF" w:themeColor="background1"/>
      </w:rPr>
    </w:lvl>
    <w:lvl w:ilvl="1">
      <w:start w:val="1"/>
      <w:numFmt w:val="decimal"/>
      <w:pStyle w:val="Heading2"/>
      <w:lvlText w:val="%1.%2."/>
      <w:lvlJc w:val="left"/>
      <w:pPr>
        <w:ind w:left="576" w:hanging="576"/>
      </w:pPr>
      <w:rPr>
        <w:rFonts w:hint="default"/>
        <w:i w:val="0"/>
        <w:iCs/>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b w:val="0"/>
        <w:bCs w:val="0"/>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7" w15:restartNumberingAfterBreak="0">
    <w:nsid w:val="368379A7"/>
    <w:multiLevelType w:val="multilevel"/>
    <w:tmpl w:val="A3C42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BAD1BC5"/>
    <w:multiLevelType w:val="hybridMultilevel"/>
    <w:tmpl w:val="00B8FEDE"/>
    <w:lvl w:ilvl="0" w:tplc="17E85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24751E6"/>
    <w:multiLevelType w:val="hybridMultilevel"/>
    <w:tmpl w:val="0400B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6410BB"/>
    <w:multiLevelType w:val="hybridMultilevel"/>
    <w:tmpl w:val="DBBE86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A62628B"/>
    <w:multiLevelType w:val="hybridMultilevel"/>
    <w:tmpl w:val="75245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824F77"/>
    <w:multiLevelType w:val="hybridMultilevel"/>
    <w:tmpl w:val="72744AB4"/>
    <w:lvl w:ilvl="0" w:tplc="162A9FD6">
      <w:start w:val="1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9D798B"/>
    <w:multiLevelType w:val="hybridMultilevel"/>
    <w:tmpl w:val="971CAF44"/>
    <w:lvl w:ilvl="0" w:tplc="5F98E158">
      <w:start w:val="1"/>
      <w:numFmt w:val="decimal"/>
      <w:lvlText w:val="%1."/>
      <w:lvlJc w:val="left"/>
      <w:pPr>
        <w:ind w:left="1287" w:hanging="360"/>
      </w:pPr>
      <w:rPr>
        <w:b/>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51394EFF"/>
    <w:multiLevelType w:val="multilevel"/>
    <w:tmpl w:val="C4DA8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3250152"/>
    <w:multiLevelType w:val="hybridMultilevel"/>
    <w:tmpl w:val="79F2A5F0"/>
    <w:lvl w:ilvl="0" w:tplc="6FBCD97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633263"/>
    <w:multiLevelType w:val="multilevel"/>
    <w:tmpl w:val="5B3A3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312C21"/>
    <w:multiLevelType w:val="multilevel"/>
    <w:tmpl w:val="526C5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805277"/>
    <w:multiLevelType w:val="hybridMultilevel"/>
    <w:tmpl w:val="CAE0AB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2495FD9"/>
    <w:multiLevelType w:val="multilevel"/>
    <w:tmpl w:val="813A0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B636F3"/>
    <w:multiLevelType w:val="hybridMultilevel"/>
    <w:tmpl w:val="FD741246"/>
    <w:lvl w:ilvl="0" w:tplc="4588D6DA">
      <w:start w:val="1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874399"/>
    <w:multiLevelType w:val="multilevel"/>
    <w:tmpl w:val="06DEB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BB102B7"/>
    <w:multiLevelType w:val="hybridMultilevel"/>
    <w:tmpl w:val="8C6A59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22"/>
  </w:num>
  <w:num w:numId="3">
    <w:abstractNumId w:val="2"/>
  </w:num>
  <w:num w:numId="4">
    <w:abstractNumId w:val="14"/>
  </w:num>
  <w:num w:numId="5">
    <w:abstractNumId w:val="3"/>
  </w:num>
  <w:num w:numId="6">
    <w:abstractNumId w:val="16"/>
  </w:num>
  <w:num w:numId="7">
    <w:abstractNumId w:val="8"/>
  </w:num>
  <w:num w:numId="8">
    <w:abstractNumId w:val="23"/>
  </w:num>
  <w:num w:numId="9">
    <w:abstractNumId w:val="12"/>
  </w:num>
  <w:num w:numId="10">
    <w:abstractNumId w:val="7"/>
  </w:num>
  <w:num w:numId="11">
    <w:abstractNumId w:val="2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9"/>
  </w:num>
  <w:num w:numId="15">
    <w:abstractNumId w:val="21"/>
  </w:num>
  <w:num w:numId="16">
    <w:abstractNumId w:val="16"/>
    <w:lvlOverride w:ilvl="0">
      <w:startOverride w:val="2"/>
    </w:lvlOverride>
    <w:lvlOverride w:ilvl="1">
      <w:startOverride w:val="1"/>
    </w:lvlOverride>
  </w:num>
  <w:num w:numId="17">
    <w:abstractNumId w:val="30"/>
  </w:num>
  <w:num w:numId="18">
    <w:abstractNumId w:val="25"/>
  </w:num>
  <w:num w:numId="19">
    <w:abstractNumId w:val="18"/>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20"/>
  </w:num>
  <w:num w:numId="24">
    <w:abstractNumId w:val="4"/>
  </w:num>
  <w:num w:numId="25">
    <w:abstractNumId w:val="11"/>
  </w:num>
  <w:num w:numId="26">
    <w:abstractNumId w:val="15"/>
  </w:num>
  <w:num w:numId="27">
    <w:abstractNumId w:val="29"/>
  </w:num>
  <w:num w:numId="28">
    <w:abstractNumId w:val="10"/>
  </w:num>
  <w:num w:numId="29">
    <w:abstractNumId w:val="26"/>
  </w:num>
  <w:num w:numId="30">
    <w:abstractNumId w:val="13"/>
  </w:num>
  <w:num w:numId="31">
    <w:abstractNumId w:val="27"/>
  </w:num>
  <w:num w:numId="32">
    <w:abstractNumId w:val="31"/>
  </w:num>
  <w:num w:numId="33">
    <w:abstractNumId w:val="6"/>
  </w:num>
  <w:num w:numId="34">
    <w:abstractNumId w:val="5"/>
  </w:num>
  <w:num w:numId="35">
    <w:abstractNumId w:val="17"/>
  </w:num>
  <w:num w:numId="36">
    <w:abstractNumId w:val="24"/>
  </w:num>
  <w:num w:numId="3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hideGrammaticalErrors/>
  <w:activeWritingStyle w:appName="MSWord" w:lang="en-US" w:vendorID="64" w:dllVersion="0" w:nlCheck="1" w:checkStyle="0"/>
  <w:activeWritingStyle w:appName="MSWord" w:lang="da-DK" w:vendorID="64" w:dllVersion="0" w:nlCheck="1" w:checkStyle="0"/>
  <w:activeWritingStyle w:appName="MSWord" w:lang="es-ES" w:vendorID="64" w:dllVersion="0" w:nlCheck="1" w:checkStyle="0"/>
  <w:activeWritingStyle w:appName="MSWord" w:lang="en-GB" w:vendorID="64" w:dllVersion="0" w:nlCheck="1" w:checkStyle="0"/>
  <w:activeWritingStyle w:appName="MSWord" w:lang="nl-NL" w:vendorID="64" w:dllVersion="0" w:nlCheck="1" w:checkStyle="0"/>
  <w:activeWritingStyle w:appName="MSWord" w:lang="sv-SE" w:vendorID="64" w:dllVersion="0" w:nlCheck="1" w:checkStyle="0"/>
  <w:activeWritingStyle w:appName="MSWord" w:lang="en-US" w:vendorID="64" w:dllVersion="4096" w:nlCheck="1" w:checkStyle="0"/>
  <w:activeWritingStyle w:appName="MSWord" w:lang="es-E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activeWritingStyle w:appName="MSWord" w:lang="en-US" w:vendorID="64" w:dllVersion="6" w:nlCheck="1" w:checkStyle="0"/>
  <w:activeWritingStyle w:appName="MSWord" w:lang="es-ES" w:vendorID="64" w:dllVersion="6" w:nlCheck="1" w:checkStyle="0"/>
  <w:defaultTabStop w:val="720"/>
  <w:bookFoldPrinting/>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5050"/>
    <w:rsid w:val="000001FE"/>
    <w:rsid w:val="00000265"/>
    <w:rsid w:val="000008CF"/>
    <w:rsid w:val="00000B37"/>
    <w:rsid w:val="00000D99"/>
    <w:rsid w:val="00000FA7"/>
    <w:rsid w:val="0000117B"/>
    <w:rsid w:val="000011B9"/>
    <w:rsid w:val="0000141D"/>
    <w:rsid w:val="000014A4"/>
    <w:rsid w:val="00001622"/>
    <w:rsid w:val="00001702"/>
    <w:rsid w:val="0000170D"/>
    <w:rsid w:val="00001873"/>
    <w:rsid w:val="000019E2"/>
    <w:rsid w:val="00001A62"/>
    <w:rsid w:val="00001C82"/>
    <w:rsid w:val="00001C99"/>
    <w:rsid w:val="00001E06"/>
    <w:rsid w:val="0000237D"/>
    <w:rsid w:val="000025E7"/>
    <w:rsid w:val="00002602"/>
    <w:rsid w:val="00002656"/>
    <w:rsid w:val="00002875"/>
    <w:rsid w:val="000028E8"/>
    <w:rsid w:val="00002970"/>
    <w:rsid w:val="00002B9C"/>
    <w:rsid w:val="000032A2"/>
    <w:rsid w:val="00003619"/>
    <w:rsid w:val="00003862"/>
    <w:rsid w:val="0000388A"/>
    <w:rsid w:val="000038BE"/>
    <w:rsid w:val="000038D5"/>
    <w:rsid w:val="000038ED"/>
    <w:rsid w:val="00003B1D"/>
    <w:rsid w:val="00003C27"/>
    <w:rsid w:val="00003C5A"/>
    <w:rsid w:val="00003E0D"/>
    <w:rsid w:val="00003E8E"/>
    <w:rsid w:val="0000432D"/>
    <w:rsid w:val="00004441"/>
    <w:rsid w:val="0000451F"/>
    <w:rsid w:val="000045BB"/>
    <w:rsid w:val="000046D2"/>
    <w:rsid w:val="00004990"/>
    <w:rsid w:val="00004B1E"/>
    <w:rsid w:val="00004BBB"/>
    <w:rsid w:val="00004D33"/>
    <w:rsid w:val="00005074"/>
    <w:rsid w:val="000050B8"/>
    <w:rsid w:val="00005366"/>
    <w:rsid w:val="0000551B"/>
    <w:rsid w:val="00005804"/>
    <w:rsid w:val="000059C0"/>
    <w:rsid w:val="00005A18"/>
    <w:rsid w:val="00005A1C"/>
    <w:rsid w:val="00005B2A"/>
    <w:rsid w:val="00005D12"/>
    <w:rsid w:val="0000620D"/>
    <w:rsid w:val="00006627"/>
    <w:rsid w:val="00006648"/>
    <w:rsid w:val="000067BD"/>
    <w:rsid w:val="00006EC7"/>
    <w:rsid w:val="00007126"/>
    <w:rsid w:val="00007293"/>
    <w:rsid w:val="0000757B"/>
    <w:rsid w:val="0000794A"/>
    <w:rsid w:val="00007A85"/>
    <w:rsid w:val="00007B8C"/>
    <w:rsid w:val="00007CB9"/>
    <w:rsid w:val="00007D6E"/>
    <w:rsid w:val="00007E24"/>
    <w:rsid w:val="0001003E"/>
    <w:rsid w:val="000100F2"/>
    <w:rsid w:val="000103F6"/>
    <w:rsid w:val="00010430"/>
    <w:rsid w:val="00010611"/>
    <w:rsid w:val="00010A0A"/>
    <w:rsid w:val="00010AB4"/>
    <w:rsid w:val="00010B04"/>
    <w:rsid w:val="00010DD5"/>
    <w:rsid w:val="00011230"/>
    <w:rsid w:val="000113EC"/>
    <w:rsid w:val="0001144D"/>
    <w:rsid w:val="00011553"/>
    <w:rsid w:val="00011661"/>
    <w:rsid w:val="000116B9"/>
    <w:rsid w:val="0001175B"/>
    <w:rsid w:val="000117C2"/>
    <w:rsid w:val="00011883"/>
    <w:rsid w:val="00011A2E"/>
    <w:rsid w:val="00011AE3"/>
    <w:rsid w:val="00011BE3"/>
    <w:rsid w:val="00011D23"/>
    <w:rsid w:val="00011F15"/>
    <w:rsid w:val="000120BA"/>
    <w:rsid w:val="00012382"/>
    <w:rsid w:val="00012596"/>
    <w:rsid w:val="000125E7"/>
    <w:rsid w:val="0001262A"/>
    <w:rsid w:val="0001271F"/>
    <w:rsid w:val="00012805"/>
    <w:rsid w:val="000128AA"/>
    <w:rsid w:val="00012954"/>
    <w:rsid w:val="00012B55"/>
    <w:rsid w:val="00012EFA"/>
    <w:rsid w:val="00012F9C"/>
    <w:rsid w:val="0001367D"/>
    <w:rsid w:val="000136C8"/>
    <w:rsid w:val="0001377C"/>
    <w:rsid w:val="00013BD3"/>
    <w:rsid w:val="00013EBA"/>
    <w:rsid w:val="0001403A"/>
    <w:rsid w:val="00014445"/>
    <w:rsid w:val="000144D0"/>
    <w:rsid w:val="00014551"/>
    <w:rsid w:val="00014909"/>
    <w:rsid w:val="00014B2B"/>
    <w:rsid w:val="00014C59"/>
    <w:rsid w:val="00014C63"/>
    <w:rsid w:val="00014C65"/>
    <w:rsid w:val="00014FEF"/>
    <w:rsid w:val="0001580E"/>
    <w:rsid w:val="00015840"/>
    <w:rsid w:val="0001591B"/>
    <w:rsid w:val="00015A93"/>
    <w:rsid w:val="00015B24"/>
    <w:rsid w:val="00015C2A"/>
    <w:rsid w:val="00015CFA"/>
    <w:rsid w:val="00015D77"/>
    <w:rsid w:val="00015E4E"/>
    <w:rsid w:val="00015E7C"/>
    <w:rsid w:val="00015F67"/>
    <w:rsid w:val="00016114"/>
    <w:rsid w:val="0001624E"/>
    <w:rsid w:val="00016275"/>
    <w:rsid w:val="00016354"/>
    <w:rsid w:val="0001648A"/>
    <w:rsid w:val="00016802"/>
    <w:rsid w:val="00016A11"/>
    <w:rsid w:val="000170AF"/>
    <w:rsid w:val="00017173"/>
    <w:rsid w:val="000173E1"/>
    <w:rsid w:val="0001754B"/>
    <w:rsid w:val="000176A1"/>
    <w:rsid w:val="000178ED"/>
    <w:rsid w:val="00017BEC"/>
    <w:rsid w:val="00017E2B"/>
    <w:rsid w:val="00017E79"/>
    <w:rsid w:val="0002005C"/>
    <w:rsid w:val="0002027A"/>
    <w:rsid w:val="000206AF"/>
    <w:rsid w:val="000206C5"/>
    <w:rsid w:val="000206F2"/>
    <w:rsid w:val="00020999"/>
    <w:rsid w:val="00020BE3"/>
    <w:rsid w:val="00020E5D"/>
    <w:rsid w:val="00020F36"/>
    <w:rsid w:val="00020F38"/>
    <w:rsid w:val="000210EC"/>
    <w:rsid w:val="00021920"/>
    <w:rsid w:val="00021937"/>
    <w:rsid w:val="00021B6A"/>
    <w:rsid w:val="00021DA5"/>
    <w:rsid w:val="000220CA"/>
    <w:rsid w:val="00022263"/>
    <w:rsid w:val="00022453"/>
    <w:rsid w:val="00022AEB"/>
    <w:rsid w:val="00022C48"/>
    <w:rsid w:val="00022C5C"/>
    <w:rsid w:val="00022E21"/>
    <w:rsid w:val="00022FAF"/>
    <w:rsid w:val="0002300E"/>
    <w:rsid w:val="00023176"/>
    <w:rsid w:val="0002333D"/>
    <w:rsid w:val="000234A6"/>
    <w:rsid w:val="00023577"/>
    <w:rsid w:val="00023634"/>
    <w:rsid w:val="00023882"/>
    <w:rsid w:val="000239EF"/>
    <w:rsid w:val="00023B68"/>
    <w:rsid w:val="00023FE3"/>
    <w:rsid w:val="00024111"/>
    <w:rsid w:val="000248F6"/>
    <w:rsid w:val="00024A22"/>
    <w:rsid w:val="00024C33"/>
    <w:rsid w:val="00024E8A"/>
    <w:rsid w:val="0002506E"/>
    <w:rsid w:val="00025279"/>
    <w:rsid w:val="0002531A"/>
    <w:rsid w:val="000256B2"/>
    <w:rsid w:val="000256B4"/>
    <w:rsid w:val="00025863"/>
    <w:rsid w:val="00025D68"/>
    <w:rsid w:val="00025D8A"/>
    <w:rsid w:val="0002607F"/>
    <w:rsid w:val="000261E4"/>
    <w:rsid w:val="00026251"/>
    <w:rsid w:val="00026329"/>
    <w:rsid w:val="00026398"/>
    <w:rsid w:val="00026993"/>
    <w:rsid w:val="00026ADE"/>
    <w:rsid w:val="00026B17"/>
    <w:rsid w:val="00026B86"/>
    <w:rsid w:val="00026C61"/>
    <w:rsid w:val="00026E2A"/>
    <w:rsid w:val="00026E2E"/>
    <w:rsid w:val="00026F3B"/>
    <w:rsid w:val="000272BB"/>
    <w:rsid w:val="000272E1"/>
    <w:rsid w:val="0002733D"/>
    <w:rsid w:val="0002773A"/>
    <w:rsid w:val="0002787F"/>
    <w:rsid w:val="00027901"/>
    <w:rsid w:val="00027AFD"/>
    <w:rsid w:val="00027F6B"/>
    <w:rsid w:val="00027FC7"/>
    <w:rsid w:val="000301F1"/>
    <w:rsid w:val="00030309"/>
    <w:rsid w:val="0003039A"/>
    <w:rsid w:val="00030499"/>
    <w:rsid w:val="00030559"/>
    <w:rsid w:val="0003074E"/>
    <w:rsid w:val="00030768"/>
    <w:rsid w:val="000307E3"/>
    <w:rsid w:val="00030BD2"/>
    <w:rsid w:val="00030CAA"/>
    <w:rsid w:val="00030CCB"/>
    <w:rsid w:val="00031189"/>
    <w:rsid w:val="00031295"/>
    <w:rsid w:val="000312C9"/>
    <w:rsid w:val="000314D3"/>
    <w:rsid w:val="000316D3"/>
    <w:rsid w:val="000317DE"/>
    <w:rsid w:val="000318D4"/>
    <w:rsid w:val="0003197E"/>
    <w:rsid w:val="00031B1F"/>
    <w:rsid w:val="00031C2B"/>
    <w:rsid w:val="00031C54"/>
    <w:rsid w:val="00031ECC"/>
    <w:rsid w:val="0003265B"/>
    <w:rsid w:val="0003284F"/>
    <w:rsid w:val="00032C5E"/>
    <w:rsid w:val="0003309B"/>
    <w:rsid w:val="00033205"/>
    <w:rsid w:val="000334B2"/>
    <w:rsid w:val="0003353A"/>
    <w:rsid w:val="000336CA"/>
    <w:rsid w:val="000338A8"/>
    <w:rsid w:val="00033A6D"/>
    <w:rsid w:val="00033AD7"/>
    <w:rsid w:val="00033AE4"/>
    <w:rsid w:val="00033B99"/>
    <w:rsid w:val="00033C33"/>
    <w:rsid w:val="00033CA2"/>
    <w:rsid w:val="00033E4A"/>
    <w:rsid w:val="000344FC"/>
    <w:rsid w:val="00034583"/>
    <w:rsid w:val="000346E9"/>
    <w:rsid w:val="0003476F"/>
    <w:rsid w:val="000347D3"/>
    <w:rsid w:val="00034947"/>
    <w:rsid w:val="0003498C"/>
    <w:rsid w:val="000349AB"/>
    <w:rsid w:val="00034A1D"/>
    <w:rsid w:val="00034CA1"/>
    <w:rsid w:val="00034CB5"/>
    <w:rsid w:val="00034CD0"/>
    <w:rsid w:val="00034D8C"/>
    <w:rsid w:val="00034F7B"/>
    <w:rsid w:val="00035266"/>
    <w:rsid w:val="00035489"/>
    <w:rsid w:val="000354EF"/>
    <w:rsid w:val="000355D6"/>
    <w:rsid w:val="00035C0E"/>
    <w:rsid w:val="00035D1B"/>
    <w:rsid w:val="00035DDA"/>
    <w:rsid w:val="000360E0"/>
    <w:rsid w:val="000363AE"/>
    <w:rsid w:val="000363B8"/>
    <w:rsid w:val="00036494"/>
    <w:rsid w:val="00036555"/>
    <w:rsid w:val="0003658F"/>
    <w:rsid w:val="00036777"/>
    <w:rsid w:val="00036834"/>
    <w:rsid w:val="00036842"/>
    <w:rsid w:val="0003693C"/>
    <w:rsid w:val="00036B95"/>
    <w:rsid w:val="000370D0"/>
    <w:rsid w:val="00037218"/>
    <w:rsid w:val="00037269"/>
    <w:rsid w:val="0003765F"/>
    <w:rsid w:val="000378C2"/>
    <w:rsid w:val="000378FD"/>
    <w:rsid w:val="00037A3D"/>
    <w:rsid w:val="00037BA0"/>
    <w:rsid w:val="00037F61"/>
    <w:rsid w:val="0004002D"/>
    <w:rsid w:val="0004008B"/>
    <w:rsid w:val="000403C0"/>
    <w:rsid w:val="00040453"/>
    <w:rsid w:val="00040559"/>
    <w:rsid w:val="00040862"/>
    <w:rsid w:val="00040AF1"/>
    <w:rsid w:val="00040E6C"/>
    <w:rsid w:val="000410B7"/>
    <w:rsid w:val="000413E1"/>
    <w:rsid w:val="00041715"/>
    <w:rsid w:val="0004173B"/>
    <w:rsid w:val="00041874"/>
    <w:rsid w:val="00041955"/>
    <w:rsid w:val="000419A0"/>
    <w:rsid w:val="00041A2B"/>
    <w:rsid w:val="00041A6D"/>
    <w:rsid w:val="00041AC2"/>
    <w:rsid w:val="00041DD0"/>
    <w:rsid w:val="00041E07"/>
    <w:rsid w:val="00041EE9"/>
    <w:rsid w:val="00041F1A"/>
    <w:rsid w:val="0004200F"/>
    <w:rsid w:val="0004210F"/>
    <w:rsid w:val="0004236A"/>
    <w:rsid w:val="00042400"/>
    <w:rsid w:val="0004270B"/>
    <w:rsid w:val="0004278D"/>
    <w:rsid w:val="00042A4C"/>
    <w:rsid w:val="00042DBF"/>
    <w:rsid w:val="00042E42"/>
    <w:rsid w:val="00042F6E"/>
    <w:rsid w:val="00042F78"/>
    <w:rsid w:val="000431BE"/>
    <w:rsid w:val="000431DB"/>
    <w:rsid w:val="00043431"/>
    <w:rsid w:val="00043453"/>
    <w:rsid w:val="0004346D"/>
    <w:rsid w:val="0004352C"/>
    <w:rsid w:val="00043691"/>
    <w:rsid w:val="000436F0"/>
    <w:rsid w:val="00043743"/>
    <w:rsid w:val="00043973"/>
    <w:rsid w:val="00043BF7"/>
    <w:rsid w:val="00043C70"/>
    <w:rsid w:val="00043D45"/>
    <w:rsid w:val="00043FC8"/>
    <w:rsid w:val="000440D8"/>
    <w:rsid w:val="0004449A"/>
    <w:rsid w:val="00044697"/>
    <w:rsid w:val="00044E2C"/>
    <w:rsid w:val="00044E76"/>
    <w:rsid w:val="00044EA9"/>
    <w:rsid w:val="0004501B"/>
    <w:rsid w:val="00045208"/>
    <w:rsid w:val="00045281"/>
    <w:rsid w:val="00045492"/>
    <w:rsid w:val="00045616"/>
    <w:rsid w:val="0004567A"/>
    <w:rsid w:val="00045727"/>
    <w:rsid w:val="0004576B"/>
    <w:rsid w:val="00045B2D"/>
    <w:rsid w:val="00045E48"/>
    <w:rsid w:val="00045EB3"/>
    <w:rsid w:val="0004601A"/>
    <w:rsid w:val="000461CC"/>
    <w:rsid w:val="00046375"/>
    <w:rsid w:val="00046569"/>
    <w:rsid w:val="00046737"/>
    <w:rsid w:val="000467C6"/>
    <w:rsid w:val="000467EB"/>
    <w:rsid w:val="000468F6"/>
    <w:rsid w:val="00046978"/>
    <w:rsid w:val="00046A17"/>
    <w:rsid w:val="00046E84"/>
    <w:rsid w:val="00047047"/>
    <w:rsid w:val="00047409"/>
    <w:rsid w:val="000474BB"/>
    <w:rsid w:val="00047896"/>
    <w:rsid w:val="00047B14"/>
    <w:rsid w:val="00047B44"/>
    <w:rsid w:val="00050679"/>
    <w:rsid w:val="000507E2"/>
    <w:rsid w:val="00050909"/>
    <w:rsid w:val="00050AC3"/>
    <w:rsid w:val="0005111B"/>
    <w:rsid w:val="0005117F"/>
    <w:rsid w:val="00051346"/>
    <w:rsid w:val="00051903"/>
    <w:rsid w:val="00051BB1"/>
    <w:rsid w:val="00051DD6"/>
    <w:rsid w:val="00051FCE"/>
    <w:rsid w:val="000525C9"/>
    <w:rsid w:val="0005276C"/>
    <w:rsid w:val="000528BA"/>
    <w:rsid w:val="000528CB"/>
    <w:rsid w:val="00052B75"/>
    <w:rsid w:val="00052FAC"/>
    <w:rsid w:val="00052FFF"/>
    <w:rsid w:val="0005302C"/>
    <w:rsid w:val="000531FA"/>
    <w:rsid w:val="00053217"/>
    <w:rsid w:val="000532AB"/>
    <w:rsid w:val="000532E3"/>
    <w:rsid w:val="000534E1"/>
    <w:rsid w:val="00053509"/>
    <w:rsid w:val="00053622"/>
    <w:rsid w:val="00053F8A"/>
    <w:rsid w:val="00054231"/>
    <w:rsid w:val="000543EF"/>
    <w:rsid w:val="0005458C"/>
    <w:rsid w:val="0005474A"/>
    <w:rsid w:val="000547F5"/>
    <w:rsid w:val="0005497B"/>
    <w:rsid w:val="00054B60"/>
    <w:rsid w:val="00054B80"/>
    <w:rsid w:val="00054BA0"/>
    <w:rsid w:val="00054EA2"/>
    <w:rsid w:val="00054EA8"/>
    <w:rsid w:val="000550C2"/>
    <w:rsid w:val="00055159"/>
    <w:rsid w:val="00055254"/>
    <w:rsid w:val="000555C1"/>
    <w:rsid w:val="00055970"/>
    <w:rsid w:val="00055ACF"/>
    <w:rsid w:val="00055CBC"/>
    <w:rsid w:val="00055D15"/>
    <w:rsid w:val="00055E97"/>
    <w:rsid w:val="00055FA2"/>
    <w:rsid w:val="00056016"/>
    <w:rsid w:val="00056061"/>
    <w:rsid w:val="00056070"/>
    <w:rsid w:val="0005610B"/>
    <w:rsid w:val="000561CC"/>
    <w:rsid w:val="0005639A"/>
    <w:rsid w:val="00056663"/>
    <w:rsid w:val="00056A35"/>
    <w:rsid w:val="00056BB2"/>
    <w:rsid w:val="00056C42"/>
    <w:rsid w:val="00056E01"/>
    <w:rsid w:val="00056F0E"/>
    <w:rsid w:val="000576C4"/>
    <w:rsid w:val="00057833"/>
    <w:rsid w:val="0005792C"/>
    <w:rsid w:val="00057959"/>
    <w:rsid w:val="00057AB9"/>
    <w:rsid w:val="00057BFB"/>
    <w:rsid w:val="00057CB2"/>
    <w:rsid w:val="0006028B"/>
    <w:rsid w:val="00060396"/>
    <w:rsid w:val="00060563"/>
    <w:rsid w:val="0006070F"/>
    <w:rsid w:val="000608AE"/>
    <w:rsid w:val="00060BE4"/>
    <w:rsid w:val="00060CBC"/>
    <w:rsid w:val="00060CDF"/>
    <w:rsid w:val="000611DD"/>
    <w:rsid w:val="0006120C"/>
    <w:rsid w:val="0006137F"/>
    <w:rsid w:val="000614D2"/>
    <w:rsid w:val="000615D1"/>
    <w:rsid w:val="00061767"/>
    <w:rsid w:val="00061850"/>
    <w:rsid w:val="00061B50"/>
    <w:rsid w:val="00061F41"/>
    <w:rsid w:val="000621F1"/>
    <w:rsid w:val="00062201"/>
    <w:rsid w:val="00062566"/>
    <w:rsid w:val="00062689"/>
    <w:rsid w:val="00062749"/>
    <w:rsid w:val="0006278A"/>
    <w:rsid w:val="00062BCF"/>
    <w:rsid w:val="0006306B"/>
    <w:rsid w:val="00063151"/>
    <w:rsid w:val="0006316E"/>
    <w:rsid w:val="000632A6"/>
    <w:rsid w:val="000632EA"/>
    <w:rsid w:val="0006369E"/>
    <w:rsid w:val="00063CEB"/>
    <w:rsid w:val="00063F71"/>
    <w:rsid w:val="00063FF1"/>
    <w:rsid w:val="000641BA"/>
    <w:rsid w:val="00064AC7"/>
    <w:rsid w:val="00064AE9"/>
    <w:rsid w:val="00064B70"/>
    <w:rsid w:val="00064BFA"/>
    <w:rsid w:val="00064D46"/>
    <w:rsid w:val="000653E7"/>
    <w:rsid w:val="00065581"/>
    <w:rsid w:val="00065AA1"/>
    <w:rsid w:val="00065C60"/>
    <w:rsid w:val="00065F7F"/>
    <w:rsid w:val="00065F82"/>
    <w:rsid w:val="0006643E"/>
    <w:rsid w:val="0006665D"/>
    <w:rsid w:val="00066669"/>
    <w:rsid w:val="000666D7"/>
    <w:rsid w:val="00066E1B"/>
    <w:rsid w:val="00066F80"/>
    <w:rsid w:val="0006701F"/>
    <w:rsid w:val="00067137"/>
    <w:rsid w:val="00067200"/>
    <w:rsid w:val="000672DA"/>
    <w:rsid w:val="00067406"/>
    <w:rsid w:val="00067445"/>
    <w:rsid w:val="000675C5"/>
    <w:rsid w:val="00067A8A"/>
    <w:rsid w:val="00067C58"/>
    <w:rsid w:val="00067C7A"/>
    <w:rsid w:val="00067DBC"/>
    <w:rsid w:val="00067E95"/>
    <w:rsid w:val="000700A0"/>
    <w:rsid w:val="0007026C"/>
    <w:rsid w:val="00070620"/>
    <w:rsid w:val="00070804"/>
    <w:rsid w:val="0007083F"/>
    <w:rsid w:val="00070C32"/>
    <w:rsid w:val="00070CCD"/>
    <w:rsid w:val="00070D0F"/>
    <w:rsid w:val="00070D4B"/>
    <w:rsid w:val="00070DDF"/>
    <w:rsid w:val="00070F3C"/>
    <w:rsid w:val="000711E0"/>
    <w:rsid w:val="00071245"/>
    <w:rsid w:val="0007152A"/>
    <w:rsid w:val="000715DE"/>
    <w:rsid w:val="00071707"/>
    <w:rsid w:val="000717C7"/>
    <w:rsid w:val="0007194D"/>
    <w:rsid w:val="00071FE2"/>
    <w:rsid w:val="0007248E"/>
    <w:rsid w:val="00072DC4"/>
    <w:rsid w:val="00072FFA"/>
    <w:rsid w:val="0007303C"/>
    <w:rsid w:val="0007338A"/>
    <w:rsid w:val="0007379D"/>
    <w:rsid w:val="00073858"/>
    <w:rsid w:val="000738E8"/>
    <w:rsid w:val="00073951"/>
    <w:rsid w:val="00073C67"/>
    <w:rsid w:val="00073D29"/>
    <w:rsid w:val="00073EDD"/>
    <w:rsid w:val="0007402A"/>
    <w:rsid w:val="0007408D"/>
    <w:rsid w:val="000743AD"/>
    <w:rsid w:val="00074461"/>
    <w:rsid w:val="000744F1"/>
    <w:rsid w:val="000748E2"/>
    <w:rsid w:val="00074A7B"/>
    <w:rsid w:val="00074B0D"/>
    <w:rsid w:val="00074C9C"/>
    <w:rsid w:val="000753E3"/>
    <w:rsid w:val="0007540D"/>
    <w:rsid w:val="00075526"/>
    <w:rsid w:val="00075580"/>
    <w:rsid w:val="00075595"/>
    <w:rsid w:val="000757EA"/>
    <w:rsid w:val="00075816"/>
    <w:rsid w:val="0007597A"/>
    <w:rsid w:val="00075A25"/>
    <w:rsid w:val="00075E40"/>
    <w:rsid w:val="00075EB9"/>
    <w:rsid w:val="00075F0B"/>
    <w:rsid w:val="000760C1"/>
    <w:rsid w:val="000760DC"/>
    <w:rsid w:val="000760FB"/>
    <w:rsid w:val="0007618C"/>
    <w:rsid w:val="00076241"/>
    <w:rsid w:val="0007635A"/>
    <w:rsid w:val="0007639D"/>
    <w:rsid w:val="000765ED"/>
    <w:rsid w:val="00076966"/>
    <w:rsid w:val="00076A65"/>
    <w:rsid w:val="00076CD0"/>
    <w:rsid w:val="00076D90"/>
    <w:rsid w:val="00076F60"/>
    <w:rsid w:val="00076FD9"/>
    <w:rsid w:val="000771FD"/>
    <w:rsid w:val="00077317"/>
    <w:rsid w:val="0007748F"/>
    <w:rsid w:val="00077497"/>
    <w:rsid w:val="000774E0"/>
    <w:rsid w:val="000775E6"/>
    <w:rsid w:val="00077814"/>
    <w:rsid w:val="0007793D"/>
    <w:rsid w:val="00077B4C"/>
    <w:rsid w:val="000804E2"/>
    <w:rsid w:val="0008069C"/>
    <w:rsid w:val="000806E7"/>
    <w:rsid w:val="000808C2"/>
    <w:rsid w:val="00080BDC"/>
    <w:rsid w:val="00080F14"/>
    <w:rsid w:val="00081014"/>
    <w:rsid w:val="00081181"/>
    <w:rsid w:val="00081187"/>
    <w:rsid w:val="0008149A"/>
    <w:rsid w:val="000817AD"/>
    <w:rsid w:val="00081CCC"/>
    <w:rsid w:val="00081ED5"/>
    <w:rsid w:val="00081F7A"/>
    <w:rsid w:val="000820CB"/>
    <w:rsid w:val="0008281B"/>
    <w:rsid w:val="000828EC"/>
    <w:rsid w:val="00082964"/>
    <w:rsid w:val="00082A3A"/>
    <w:rsid w:val="00082D7A"/>
    <w:rsid w:val="00082DC0"/>
    <w:rsid w:val="00083087"/>
    <w:rsid w:val="00083206"/>
    <w:rsid w:val="00083412"/>
    <w:rsid w:val="000834E0"/>
    <w:rsid w:val="0008393F"/>
    <w:rsid w:val="00083945"/>
    <w:rsid w:val="000839BA"/>
    <w:rsid w:val="00083F62"/>
    <w:rsid w:val="0008417D"/>
    <w:rsid w:val="0008447F"/>
    <w:rsid w:val="00084615"/>
    <w:rsid w:val="00084688"/>
    <w:rsid w:val="0008471C"/>
    <w:rsid w:val="00084843"/>
    <w:rsid w:val="00084A2E"/>
    <w:rsid w:val="00084A84"/>
    <w:rsid w:val="00084BA2"/>
    <w:rsid w:val="00084CAC"/>
    <w:rsid w:val="00084D7B"/>
    <w:rsid w:val="00084F78"/>
    <w:rsid w:val="00084FC3"/>
    <w:rsid w:val="00085038"/>
    <w:rsid w:val="00085069"/>
    <w:rsid w:val="000850F5"/>
    <w:rsid w:val="0008575D"/>
    <w:rsid w:val="00085AF9"/>
    <w:rsid w:val="00085E42"/>
    <w:rsid w:val="00085E82"/>
    <w:rsid w:val="00085F69"/>
    <w:rsid w:val="00085FC8"/>
    <w:rsid w:val="0008618B"/>
    <w:rsid w:val="00086397"/>
    <w:rsid w:val="000866A6"/>
    <w:rsid w:val="00086830"/>
    <w:rsid w:val="00086887"/>
    <w:rsid w:val="000868FD"/>
    <w:rsid w:val="00086A27"/>
    <w:rsid w:val="00086CF4"/>
    <w:rsid w:val="00086D35"/>
    <w:rsid w:val="00086DA6"/>
    <w:rsid w:val="00086E22"/>
    <w:rsid w:val="00086EDA"/>
    <w:rsid w:val="00086F58"/>
    <w:rsid w:val="00086F63"/>
    <w:rsid w:val="00087106"/>
    <w:rsid w:val="000872FD"/>
    <w:rsid w:val="00087338"/>
    <w:rsid w:val="0008748C"/>
    <w:rsid w:val="00087512"/>
    <w:rsid w:val="00087578"/>
    <w:rsid w:val="00087B8B"/>
    <w:rsid w:val="00087BF3"/>
    <w:rsid w:val="00087C3D"/>
    <w:rsid w:val="00087D4A"/>
    <w:rsid w:val="00087DFE"/>
    <w:rsid w:val="00087FBD"/>
    <w:rsid w:val="000902AA"/>
    <w:rsid w:val="000905D1"/>
    <w:rsid w:val="0009076B"/>
    <w:rsid w:val="00090A87"/>
    <w:rsid w:val="00090BF7"/>
    <w:rsid w:val="00090C90"/>
    <w:rsid w:val="00090D08"/>
    <w:rsid w:val="00090DB2"/>
    <w:rsid w:val="00090F57"/>
    <w:rsid w:val="00091036"/>
    <w:rsid w:val="00091180"/>
    <w:rsid w:val="00091261"/>
    <w:rsid w:val="000912C3"/>
    <w:rsid w:val="0009132B"/>
    <w:rsid w:val="00091629"/>
    <w:rsid w:val="00091F0B"/>
    <w:rsid w:val="00091F0F"/>
    <w:rsid w:val="00091F6D"/>
    <w:rsid w:val="00091FB8"/>
    <w:rsid w:val="000921E9"/>
    <w:rsid w:val="000922E6"/>
    <w:rsid w:val="000924F8"/>
    <w:rsid w:val="00092F21"/>
    <w:rsid w:val="00092F96"/>
    <w:rsid w:val="0009303F"/>
    <w:rsid w:val="0009313E"/>
    <w:rsid w:val="00093358"/>
    <w:rsid w:val="000936FA"/>
    <w:rsid w:val="00093946"/>
    <w:rsid w:val="00093CFF"/>
    <w:rsid w:val="00093D39"/>
    <w:rsid w:val="0009402C"/>
    <w:rsid w:val="00094060"/>
    <w:rsid w:val="0009435D"/>
    <w:rsid w:val="0009444E"/>
    <w:rsid w:val="000944B0"/>
    <w:rsid w:val="000946C2"/>
    <w:rsid w:val="00094BDC"/>
    <w:rsid w:val="00094C7F"/>
    <w:rsid w:val="00094D4F"/>
    <w:rsid w:val="0009521B"/>
    <w:rsid w:val="0009542A"/>
    <w:rsid w:val="000954A6"/>
    <w:rsid w:val="000954C3"/>
    <w:rsid w:val="00095788"/>
    <w:rsid w:val="0009583F"/>
    <w:rsid w:val="00095A04"/>
    <w:rsid w:val="00095ABC"/>
    <w:rsid w:val="00095B78"/>
    <w:rsid w:val="00095F13"/>
    <w:rsid w:val="000960F6"/>
    <w:rsid w:val="000963E4"/>
    <w:rsid w:val="000965E3"/>
    <w:rsid w:val="000966AA"/>
    <w:rsid w:val="00096916"/>
    <w:rsid w:val="000969AB"/>
    <w:rsid w:val="00096A2D"/>
    <w:rsid w:val="00096B25"/>
    <w:rsid w:val="00096B33"/>
    <w:rsid w:val="00096C6A"/>
    <w:rsid w:val="00097293"/>
    <w:rsid w:val="000973C5"/>
    <w:rsid w:val="00097AFE"/>
    <w:rsid w:val="00097B3A"/>
    <w:rsid w:val="00097E6A"/>
    <w:rsid w:val="00097F38"/>
    <w:rsid w:val="000A00B2"/>
    <w:rsid w:val="000A038D"/>
    <w:rsid w:val="000A0423"/>
    <w:rsid w:val="000A042E"/>
    <w:rsid w:val="000A04F4"/>
    <w:rsid w:val="000A05B2"/>
    <w:rsid w:val="000A0723"/>
    <w:rsid w:val="000A07A0"/>
    <w:rsid w:val="000A07F9"/>
    <w:rsid w:val="000A0CC9"/>
    <w:rsid w:val="000A0DF8"/>
    <w:rsid w:val="000A0E14"/>
    <w:rsid w:val="000A0FBB"/>
    <w:rsid w:val="000A0FCD"/>
    <w:rsid w:val="000A12A4"/>
    <w:rsid w:val="000A16A3"/>
    <w:rsid w:val="000A16C8"/>
    <w:rsid w:val="000A19A8"/>
    <w:rsid w:val="000A1BAF"/>
    <w:rsid w:val="000A1C3F"/>
    <w:rsid w:val="000A1C86"/>
    <w:rsid w:val="000A1D00"/>
    <w:rsid w:val="000A1D5D"/>
    <w:rsid w:val="000A1DFD"/>
    <w:rsid w:val="000A2154"/>
    <w:rsid w:val="000A2159"/>
    <w:rsid w:val="000A2672"/>
    <w:rsid w:val="000A2739"/>
    <w:rsid w:val="000A27BA"/>
    <w:rsid w:val="000A28AF"/>
    <w:rsid w:val="000A2E61"/>
    <w:rsid w:val="000A2F6C"/>
    <w:rsid w:val="000A2FC1"/>
    <w:rsid w:val="000A319E"/>
    <w:rsid w:val="000A334C"/>
    <w:rsid w:val="000A33AA"/>
    <w:rsid w:val="000A355C"/>
    <w:rsid w:val="000A35BC"/>
    <w:rsid w:val="000A36FA"/>
    <w:rsid w:val="000A398E"/>
    <w:rsid w:val="000A39CC"/>
    <w:rsid w:val="000A3C44"/>
    <w:rsid w:val="000A422F"/>
    <w:rsid w:val="000A4288"/>
    <w:rsid w:val="000A4327"/>
    <w:rsid w:val="000A4385"/>
    <w:rsid w:val="000A45BD"/>
    <w:rsid w:val="000A478F"/>
    <w:rsid w:val="000A4A3A"/>
    <w:rsid w:val="000A4A78"/>
    <w:rsid w:val="000A4B67"/>
    <w:rsid w:val="000A4C7F"/>
    <w:rsid w:val="000A4E9D"/>
    <w:rsid w:val="000A4F4E"/>
    <w:rsid w:val="000A4FFE"/>
    <w:rsid w:val="000A50DD"/>
    <w:rsid w:val="000A519B"/>
    <w:rsid w:val="000A51E5"/>
    <w:rsid w:val="000A535C"/>
    <w:rsid w:val="000A53FD"/>
    <w:rsid w:val="000A5648"/>
    <w:rsid w:val="000A568B"/>
    <w:rsid w:val="000A5C4E"/>
    <w:rsid w:val="000A5CB2"/>
    <w:rsid w:val="000A5D88"/>
    <w:rsid w:val="000A5E1F"/>
    <w:rsid w:val="000A5E9E"/>
    <w:rsid w:val="000A6009"/>
    <w:rsid w:val="000A62E4"/>
    <w:rsid w:val="000A6B5D"/>
    <w:rsid w:val="000A6B72"/>
    <w:rsid w:val="000A6D4A"/>
    <w:rsid w:val="000A6D98"/>
    <w:rsid w:val="000A6F1D"/>
    <w:rsid w:val="000A7046"/>
    <w:rsid w:val="000A7256"/>
    <w:rsid w:val="000A73BE"/>
    <w:rsid w:val="000A7412"/>
    <w:rsid w:val="000A74D2"/>
    <w:rsid w:val="000A764F"/>
    <w:rsid w:val="000A76F6"/>
    <w:rsid w:val="000A770E"/>
    <w:rsid w:val="000A7926"/>
    <w:rsid w:val="000A7C35"/>
    <w:rsid w:val="000A7D6B"/>
    <w:rsid w:val="000A7DE6"/>
    <w:rsid w:val="000A7EEE"/>
    <w:rsid w:val="000B0162"/>
    <w:rsid w:val="000B04DB"/>
    <w:rsid w:val="000B0539"/>
    <w:rsid w:val="000B06EF"/>
    <w:rsid w:val="000B0766"/>
    <w:rsid w:val="000B07D7"/>
    <w:rsid w:val="000B089C"/>
    <w:rsid w:val="000B0932"/>
    <w:rsid w:val="000B09EE"/>
    <w:rsid w:val="000B0CD8"/>
    <w:rsid w:val="000B0DCD"/>
    <w:rsid w:val="000B0F34"/>
    <w:rsid w:val="000B0F61"/>
    <w:rsid w:val="000B1370"/>
    <w:rsid w:val="000B1A3A"/>
    <w:rsid w:val="000B1A4D"/>
    <w:rsid w:val="000B20C3"/>
    <w:rsid w:val="000B2160"/>
    <w:rsid w:val="000B241B"/>
    <w:rsid w:val="000B2560"/>
    <w:rsid w:val="000B28EB"/>
    <w:rsid w:val="000B2A3C"/>
    <w:rsid w:val="000B2ADB"/>
    <w:rsid w:val="000B2EBA"/>
    <w:rsid w:val="000B2F48"/>
    <w:rsid w:val="000B30DD"/>
    <w:rsid w:val="000B3150"/>
    <w:rsid w:val="000B32E2"/>
    <w:rsid w:val="000B341C"/>
    <w:rsid w:val="000B3511"/>
    <w:rsid w:val="000B35BA"/>
    <w:rsid w:val="000B36E3"/>
    <w:rsid w:val="000B379B"/>
    <w:rsid w:val="000B381D"/>
    <w:rsid w:val="000B3849"/>
    <w:rsid w:val="000B3B41"/>
    <w:rsid w:val="000B3BB1"/>
    <w:rsid w:val="000B3D65"/>
    <w:rsid w:val="000B3FD9"/>
    <w:rsid w:val="000B40DA"/>
    <w:rsid w:val="000B431B"/>
    <w:rsid w:val="000B470E"/>
    <w:rsid w:val="000B4750"/>
    <w:rsid w:val="000B47E2"/>
    <w:rsid w:val="000B481B"/>
    <w:rsid w:val="000B49A4"/>
    <w:rsid w:val="000B49C0"/>
    <w:rsid w:val="000B4AE3"/>
    <w:rsid w:val="000B4E54"/>
    <w:rsid w:val="000B4E56"/>
    <w:rsid w:val="000B4FFC"/>
    <w:rsid w:val="000B5058"/>
    <w:rsid w:val="000B5077"/>
    <w:rsid w:val="000B514A"/>
    <w:rsid w:val="000B5276"/>
    <w:rsid w:val="000B548C"/>
    <w:rsid w:val="000B5615"/>
    <w:rsid w:val="000B56A9"/>
    <w:rsid w:val="000B56F4"/>
    <w:rsid w:val="000B59D2"/>
    <w:rsid w:val="000B5BEC"/>
    <w:rsid w:val="000B5C93"/>
    <w:rsid w:val="000B5CE9"/>
    <w:rsid w:val="000B5EB3"/>
    <w:rsid w:val="000B618D"/>
    <w:rsid w:val="000B68DF"/>
    <w:rsid w:val="000B6C82"/>
    <w:rsid w:val="000B6D66"/>
    <w:rsid w:val="000B6D90"/>
    <w:rsid w:val="000B7190"/>
    <w:rsid w:val="000B734C"/>
    <w:rsid w:val="000B746B"/>
    <w:rsid w:val="000B7564"/>
    <w:rsid w:val="000B7600"/>
    <w:rsid w:val="000B769B"/>
    <w:rsid w:val="000B78F3"/>
    <w:rsid w:val="000B7D1B"/>
    <w:rsid w:val="000B7EF3"/>
    <w:rsid w:val="000C0291"/>
    <w:rsid w:val="000C040B"/>
    <w:rsid w:val="000C057E"/>
    <w:rsid w:val="000C0691"/>
    <w:rsid w:val="000C0818"/>
    <w:rsid w:val="000C0862"/>
    <w:rsid w:val="000C0886"/>
    <w:rsid w:val="000C08F7"/>
    <w:rsid w:val="000C0A19"/>
    <w:rsid w:val="000C0A2C"/>
    <w:rsid w:val="000C0B79"/>
    <w:rsid w:val="000C0CB9"/>
    <w:rsid w:val="000C0E0F"/>
    <w:rsid w:val="000C1044"/>
    <w:rsid w:val="000C12FC"/>
    <w:rsid w:val="000C1326"/>
    <w:rsid w:val="000C1603"/>
    <w:rsid w:val="000C1639"/>
    <w:rsid w:val="000C1A1C"/>
    <w:rsid w:val="000C206F"/>
    <w:rsid w:val="000C2105"/>
    <w:rsid w:val="000C2137"/>
    <w:rsid w:val="000C2333"/>
    <w:rsid w:val="000C292E"/>
    <w:rsid w:val="000C2939"/>
    <w:rsid w:val="000C2986"/>
    <w:rsid w:val="000C2994"/>
    <w:rsid w:val="000C2A5A"/>
    <w:rsid w:val="000C2A71"/>
    <w:rsid w:val="000C310B"/>
    <w:rsid w:val="000C3197"/>
    <w:rsid w:val="000C3223"/>
    <w:rsid w:val="000C3347"/>
    <w:rsid w:val="000C33A0"/>
    <w:rsid w:val="000C33BD"/>
    <w:rsid w:val="000C3620"/>
    <w:rsid w:val="000C36EF"/>
    <w:rsid w:val="000C3AB3"/>
    <w:rsid w:val="000C3CE5"/>
    <w:rsid w:val="000C3E56"/>
    <w:rsid w:val="000C3EEB"/>
    <w:rsid w:val="000C3FC0"/>
    <w:rsid w:val="000C4047"/>
    <w:rsid w:val="000C40A9"/>
    <w:rsid w:val="000C41F6"/>
    <w:rsid w:val="000C43CB"/>
    <w:rsid w:val="000C449D"/>
    <w:rsid w:val="000C468C"/>
    <w:rsid w:val="000C46AA"/>
    <w:rsid w:val="000C4717"/>
    <w:rsid w:val="000C4C70"/>
    <w:rsid w:val="000C4EED"/>
    <w:rsid w:val="000C5169"/>
    <w:rsid w:val="000C517A"/>
    <w:rsid w:val="000C5373"/>
    <w:rsid w:val="000C53A6"/>
    <w:rsid w:val="000C57F9"/>
    <w:rsid w:val="000C58AF"/>
    <w:rsid w:val="000C5A11"/>
    <w:rsid w:val="000C5C09"/>
    <w:rsid w:val="000C5D95"/>
    <w:rsid w:val="000C60D9"/>
    <w:rsid w:val="000C612F"/>
    <w:rsid w:val="000C618C"/>
    <w:rsid w:val="000C629B"/>
    <w:rsid w:val="000C635F"/>
    <w:rsid w:val="000C63A2"/>
    <w:rsid w:val="000C65B3"/>
    <w:rsid w:val="000C6873"/>
    <w:rsid w:val="000C691C"/>
    <w:rsid w:val="000C698C"/>
    <w:rsid w:val="000C6AF6"/>
    <w:rsid w:val="000C6C29"/>
    <w:rsid w:val="000C6FBE"/>
    <w:rsid w:val="000C7444"/>
    <w:rsid w:val="000C759A"/>
    <w:rsid w:val="000C77A3"/>
    <w:rsid w:val="000C7CC4"/>
    <w:rsid w:val="000C7D3F"/>
    <w:rsid w:val="000C7E45"/>
    <w:rsid w:val="000D033D"/>
    <w:rsid w:val="000D063D"/>
    <w:rsid w:val="000D075B"/>
    <w:rsid w:val="000D07FF"/>
    <w:rsid w:val="000D09F8"/>
    <w:rsid w:val="000D0EBC"/>
    <w:rsid w:val="000D109C"/>
    <w:rsid w:val="000D1177"/>
    <w:rsid w:val="000D14B4"/>
    <w:rsid w:val="000D17A6"/>
    <w:rsid w:val="000D19C5"/>
    <w:rsid w:val="000D1B20"/>
    <w:rsid w:val="000D1B50"/>
    <w:rsid w:val="000D1BD4"/>
    <w:rsid w:val="000D1CE3"/>
    <w:rsid w:val="000D1DAF"/>
    <w:rsid w:val="000D1DB5"/>
    <w:rsid w:val="000D1EA7"/>
    <w:rsid w:val="000D2021"/>
    <w:rsid w:val="000D21AE"/>
    <w:rsid w:val="000D23E4"/>
    <w:rsid w:val="000D25C0"/>
    <w:rsid w:val="000D2620"/>
    <w:rsid w:val="000D2779"/>
    <w:rsid w:val="000D283E"/>
    <w:rsid w:val="000D28E0"/>
    <w:rsid w:val="000D2E6C"/>
    <w:rsid w:val="000D3033"/>
    <w:rsid w:val="000D30E8"/>
    <w:rsid w:val="000D3582"/>
    <w:rsid w:val="000D35CB"/>
    <w:rsid w:val="000D3B3F"/>
    <w:rsid w:val="000D3CEA"/>
    <w:rsid w:val="000D41A5"/>
    <w:rsid w:val="000D43AD"/>
    <w:rsid w:val="000D43AE"/>
    <w:rsid w:val="000D4481"/>
    <w:rsid w:val="000D4485"/>
    <w:rsid w:val="000D455E"/>
    <w:rsid w:val="000D462F"/>
    <w:rsid w:val="000D472F"/>
    <w:rsid w:val="000D4B66"/>
    <w:rsid w:val="000D4BBA"/>
    <w:rsid w:val="000D4BBB"/>
    <w:rsid w:val="000D502F"/>
    <w:rsid w:val="000D565B"/>
    <w:rsid w:val="000D569F"/>
    <w:rsid w:val="000D5BD9"/>
    <w:rsid w:val="000D5D65"/>
    <w:rsid w:val="000D5EF0"/>
    <w:rsid w:val="000D5F3E"/>
    <w:rsid w:val="000D612F"/>
    <w:rsid w:val="000D615A"/>
    <w:rsid w:val="000D6298"/>
    <w:rsid w:val="000D63B7"/>
    <w:rsid w:val="000D63E0"/>
    <w:rsid w:val="000D65E3"/>
    <w:rsid w:val="000D67F8"/>
    <w:rsid w:val="000D6849"/>
    <w:rsid w:val="000D6BD0"/>
    <w:rsid w:val="000D6EC7"/>
    <w:rsid w:val="000D71A0"/>
    <w:rsid w:val="000D71BB"/>
    <w:rsid w:val="000D71F7"/>
    <w:rsid w:val="000D7284"/>
    <w:rsid w:val="000D7288"/>
    <w:rsid w:val="000D729E"/>
    <w:rsid w:val="000D739B"/>
    <w:rsid w:val="000D75F0"/>
    <w:rsid w:val="000D7758"/>
    <w:rsid w:val="000D79FD"/>
    <w:rsid w:val="000D7B17"/>
    <w:rsid w:val="000D7B80"/>
    <w:rsid w:val="000D7DA2"/>
    <w:rsid w:val="000E0593"/>
    <w:rsid w:val="000E062B"/>
    <w:rsid w:val="000E09B7"/>
    <w:rsid w:val="000E0A3C"/>
    <w:rsid w:val="000E0B86"/>
    <w:rsid w:val="000E0C09"/>
    <w:rsid w:val="000E0C5F"/>
    <w:rsid w:val="000E0D67"/>
    <w:rsid w:val="000E0D6A"/>
    <w:rsid w:val="000E138F"/>
    <w:rsid w:val="000E1688"/>
    <w:rsid w:val="000E16AF"/>
    <w:rsid w:val="000E19BC"/>
    <w:rsid w:val="000E1A56"/>
    <w:rsid w:val="000E1A7F"/>
    <w:rsid w:val="000E1AF7"/>
    <w:rsid w:val="000E1B57"/>
    <w:rsid w:val="000E1C01"/>
    <w:rsid w:val="000E1C54"/>
    <w:rsid w:val="000E1D4C"/>
    <w:rsid w:val="000E2064"/>
    <w:rsid w:val="000E22C7"/>
    <w:rsid w:val="000E25A3"/>
    <w:rsid w:val="000E260C"/>
    <w:rsid w:val="000E268B"/>
    <w:rsid w:val="000E2918"/>
    <w:rsid w:val="000E2930"/>
    <w:rsid w:val="000E298C"/>
    <w:rsid w:val="000E2CF4"/>
    <w:rsid w:val="000E2DAC"/>
    <w:rsid w:val="000E2ED4"/>
    <w:rsid w:val="000E2F96"/>
    <w:rsid w:val="000E2F9E"/>
    <w:rsid w:val="000E31AC"/>
    <w:rsid w:val="000E36A6"/>
    <w:rsid w:val="000E374F"/>
    <w:rsid w:val="000E375B"/>
    <w:rsid w:val="000E39E5"/>
    <w:rsid w:val="000E3AB6"/>
    <w:rsid w:val="000E4055"/>
    <w:rsid w:val="000E4164"/>
    <w:rsid w:val="000E428F"/>
    <w:rsid w:val="000E43FF"/>
    <w:rsid w:val="000E4477"/>
    <w:rsid w:val="000E467B"/>
    <w:rsid w:val="000E4B2D"/>
    <w:rsid w:val="000E4BA6"/>
    <w:rsid w:val="000E4DA8"/>
    <w:rsid w:val="000E4E51"/>
    <w:rsid w:val="000E4EFC"/>
    <w:rsid w:val="000E50AE"/>
    <w:rsid w:val="000E50B5"/>
    <w:rsid w:val="000E5201"/>
    <w:rsid w:val="000E5302"/>
    <w:rsid w:val="000E5512"/>
    <w:rsid w:val="000E594A"/>
    <w:rsid w:val="000E5CCA"/>
    <w:rsid w:val="000E5ED5"/>
    <w:rsid w:val="000E5FC7"/>
    <w:rsid w:val="000E6089"/>
    <w:rsid w:val="000E60E5"/>
    <w:rsid w:val="000E62C6"/>
    <w:rsid w:val="000E67F8"/>
    <w:rsid w:val="000E6ACB"/>
    <w:rsid w:val="000E6D63"/>
    <w:rsid w:val="000E6EB7"/>
    <w:rsid w:val="000E7082"/>
    <w:rsid w:val="000E70C7"/>
    <w:rsid w:val="000E712A"/>
    <w:rsid w:val="000E7204"/>
    <w:rsid w:val="000E7276"/>
    <w:rsid w:val="000E74DA"/>
    <w:rsid w:val="000E782E"/>
    <w:rsid w:val="000E7981"/>
    <w:rsid w:val="000E7A27"/>
    <w:rsid w:val="000E7A91"/>
    <w:rsid w:val="000E7B2E"/>
    <w:rsid w:val="000E7C70"/>
    <w:rsid w:val="000F01CF"/>
    <w:rsid w:val="000F0235"/>
    <w:rsid w:val="000F0249"/>
    <w:rsid w:val="000F0498"/>
    <w:rsid w:val="000F064C"/>
    <w:rsid w:val="000F06C1"/>
    <w:rsid w:val="000F0739"/>
    <w:rsid w:val="000F09ED"/>
    <w:rsid w:val="000F10E6"/>
    <w:rsid w:val="000F1252"/>
    <w:rsid w:val="000F1254"/>
    <w:rsid w:val="000F17B9"/>
    <w:rsid w:val="000F17C1"/>
    <w:rsid w:val="000F1BA4"/>
    <w:rsid w:val="000F1D22"/>
    <w:rsid w:val="000F1D8C"/>
    <w:rsid w:val="000F212E"/>
    <w:rsid w:val="000F2205"/>
    <w:rsid w:val="000F2562"/>
    <w:rsid w:val="000F26B4"/>
    <w:rsid w:val="000F2726"/>
    <w:rsid w:val="000F2D66"/>
    <w:rsid w:val="000F2DED"/>
    <w:rsid w:val="000F2E8D"/>
    <w:rsid w:val="000F2EE9"/>
    <w:rsid w:val="000F2F4E"/>
    <w:rsid w:val="000F331E"/>
    <w:rsid w:val="000F3456"/>
    <w:rsid w:val="000F346D"/>
    <w:rsid w:val="000F349C"/>
    <w:rsid w:val="000F3510"/>
    <w:rsid w:val="000F3578"/>
    <w:rsid w:val="000F35B5"/>
    <w:rsid w:val="000F35ED"/>
    <w:rsid w:val="000F37C4"/>
    <w:rsid w:val="000F37D3"/>
    <w:rsid w:val="000F3F5D"/>
    <w:rsid w:val="000F43AC"/>
    <w:rsid w:val="000F4491"/>
    <w:rsid w:val="000F4498"/>
    <w:rsid w:val="000F44FE"/>
    <w:rsid w:val="000F45A8"/>
    <w:rsid w:val="000F4713"/>
    <w:rsid w:val="000F4D04"/>
    <w:rsid w:val="000F523E"/>
    <w:rsid w:val="000F5352"/>
    <w:rsid w:val="000F53C4"/>
    <w:rsid w:val="000F54F7"/>
    <w:rsid w:val="000F583D"/>
    <w:rsid w:val="000F58F2"/>
    <w:rsid w:val="000F5A85"/>
    <w:rsid w:val="000F5ABB"/>
    <w:rsid w:val="000F5C18"/>
    <w:rsid w:val="000F5DA3"/>
    <w:rsid w:val="000F5DDF"/>
    <w:rsid w:val="000F5EAA"/>
    <w:rsid w:val="000F5F4E"/>
    <w:rsid w:val="000F5F85"/>
    <w:rsid w:val="000F611F"/>
    <w:rsid w:val="000F61DD"/>
    <w:rsid w:val="000F6426"/>
    <w:rsid w:val="000F6464"/>
    <w:rsid w:val="000F66E1"/>
    <w:rsid w:val="000F68D4"/>
    <w:rsid w:val="000F6AA7"/>
    <w:rsid w:val="000F6E30"/>
    <w:rsid w:val="000F6ECE"/>
    <w:rsid w:val="000F6EF3"/>
    <w:rsid w:val="000F6F4A"/>
    <w:rsid w:val="000F70FC"/>
    <w:rsid w:val="000F7255"/>
    <w:rsid w:val="000F7458"/>
    <w:rsid w:val="000F7568"/>
    <w:rsid w:val="000F7589"/>
    <w:rsid w:val="000F7672"/>
    <w:rsid w:val="000F78CC"/>
    <w:rsid w:val="000F78D0"/>
    <w:rsid w:val="000F7921"/>
    <w:rsid w:val="000F79E7"/>
    <w:rsid w:val="000F7FC6"/>
    <w:rsid w:val="001001A8"/>
    <w:rsid w:val="0010027D"/>
    <w:rsid w:val="0010043A"/>
    <w:rsid w:val="00100461"/>
    <w:rsid w:val="001004E4"/>
    <w:rsid w:val="001004FB"/>
    <w:rsid w:val="0010053E"/>
    <w:rsid w:val="001007DD"/>
    <w:rsid w:val="00100A13"/>
    <w:rsid w:val="00100B56"/>
    <w:rsid w:val="00100CBE"/>
    <w:rsid w:val="00100DBF"/>
    <w:rsid w:val="0010110F"/>
    <w:rsid w:val="0010129B"/>
    <w:rsid w:val="0010185E"/>
    <w:rsid w:val="0010195B"/>
    <w:rsid w:val="00101B25"/>
    <w:rsid w:val="00101C5C"/>
    <w:rsid w:val="00101D4C"/>
    <w:rsid w:val="001020BB"/>
    <w:rsid w:val="00102244"/>
    <w:rsid w:val="00102841"/>
    <w:rsid w:val="0010289B"/>
    <w:rsid w:val="00102A5B"/>
    <w:rsid w:val="00102A79"/>
    <w:rsid w:val="00102B58"/>
    <w:rsid w:val="00102B72"/>
    <w:rsid w:val="00102C79"/>
    <w:rsid w:val="00102F66"/>
    <w:rsid w:val="0010315F"/>
    <w:rsid w:val="0010345D"/>
    <w:rsid w:val="00103502"/>
    <w:rsid w:val="001036B2"/>
    <w:rsid w:val="001036B4"/>
    <w:rsid w:val="001037BC"/>
    <w:rsid w:val="00103802"/>
    <w:rsid w:val="00103803"/>
    <w:rsid w:val="00103873"/>
    <w:rsid w:val="0010392F"/>
    <w:rsid w:val="001039B5"/>
    <w:rsid w:val="001039F4"/>
    <w:rsid w:val="00103BA0"/>
    <w:rsid w:val="00103E69"/>
    <w:rsid w:val="00104063"/>
    <w:rsid w:val="00104068"/>
    <w:rsid w:val="00104132"/>
    <w:rsid w:val="0010453A"/>
    <w:rsid w:val="0010458D"/>
    <w:rsid w:val="00104931"/>
    <w:rsid w:val="00104B04"/>
    <w:rsid w:val="00104CF0"/>
    <w:rsid w:val="00104E57"/>
    <w:rsid w:val="00104E5E"/>
    <w:rsid w:val="00104E7E"/>
    <w:rsid w:val="00104F04"/>
    <w:rsid w:val="00104F3F"/>
    <w:rsid w:val="00104FBE"/>
    <w:rsid w:val="00105298"/>
    <w:rsid w:val="0010570E"/>
    <w:rsid w:val="0010591D"/>
    <w:rsid w:val="00105965"/>
    <w:rsid w:val="00105D47"/>
    <w:rsid w:val="00105D7D"/>
    <w:rsid w:val="001061BC"/>
    <w:rsid w:val="001061F6"/>
    <w:rsid w:val="001064F2"/>
    <w:rsid w:val="00106638"/>
    <w:rsid w:val="00106688"/>
    <w:rsid w:val="001069D7"/>
    <w:rsid w:val="00106AFB"/>
    <w:rsid w:val="00106C30"/>
    <w:rsid w:val="00106D5E"/>
    <w:rsid w:val="001072CB"/>
    <w:rsid w:val="00107513"/>
    <w:rsid w:val="001075DD"/>
    <w:rsid w:val="0010798F"/>
    <w:rsid w:val="001079E2"/>
    <w:rsid w:val="00107BB6"/>
    <w:rsid w:val="00107F5C"/>
    <w:rsid w:val="00110307"/>
    <w:rsid w:val="00110401"/>
    <w:rsid w:val="00110ED5"/>
    <w:rsid w:val="00111060"/>
    <w:rsid w:val="001110B9"/>
    <w:rsid w:val="0011111F"/>
    <w:rsid w:val="001112B4"/>
    <w:rsid w:val="00111323"/>
    <w:rsid w:val="0011150F"/>
    <w:rsid w:val="001116D5"/>
    <w:rsid w:val="00111A15"/>
    <w:rsid w:val="00111DB2"/>
    <w:rsid w:val="00111F1E"/>
    <w:rsid w:val="001123A3"/>
    <w:rsid w:val="00112445"/>
    <w:rsid w:val="00112589"/>
    <w:rsid w:val="0011289B"/>
    <w:rsid w:val="00112B1E"/>
    <w:rsid w:val="00112E69"/>
    <w:rsid w:val="00112EA0"/>
    <w:rsid w:val="00112EB3"/>
    <w:rsid w:val="00113290"/>
    <w:rsid w:val="00113AA8"/>
    <w:rsid w:val="00113BC8"/>
    <w:rsid w:val="00113C1A"/>
    <w:rsid w:val="00113DA0"/>
    <w:rsid w:val="00113E9C"/>
    <w:rsid w:val="00114183"/>
    <w:rsid w:val="001146B9"/>
    <w:rsid w:val="00114703"/>
    <w:rsid w:val="00114779"/>
    <w:rsid w:val="00114827"/>
    <w:rsid w:val="00114A5D"/>
    <w:rsid w:val="00114C0E"/>
    <w:rsid w:val="00114F32"/>
    <w:rsid w:val="001150BE"/>
    <w:rsid w:val="00115100"/>
    <w:rsid w:val="00115167"/>
    <w:rsid w:val="00115629"/>
    <w:rsid w:val="0011587C"/>
    <w:rsid w:val="00115967"/>
    <w:rsid w:val="00115B6D"/>
    <w:rsid w:val="00115C05"/>
    <w:rsid w:val="00115FFB"/>
    <w:rsid w:val="001161E0"/>
    <w:rsid w:val="0011644F"/>
    <w:rsid w:val="001164DE"/>
    <w:rsid w:val="00116853"/>
    <w:rsid w:val="00116867"/>
    <w:rsid w:val="001168F3"/>
    <w:rsid w:val="00116999"/>
    <w:rsid w:val="00116A44"/>
    <w:rsid w:val="00116CD7"/>
    <w:rsid w:val="00116D05"/>
    <w:rsid w:val="00116D2A"/>
    <w:rsid w:val="00116D32"/>
    <w:rsid w:val="00116D8C"/>
    <w:rsid w:val="00116E52"/>
    <w:rsid w:val="00116F6A"/>
    <w:rsid w:val="00117813"/>
    <w:rsid w:val="00117941"/>
    <w:rsid w:val="001179FA"/>
    <w:rsid w:val="00117AF7"/>
    <w:rsid w:val="00117BDA"/>
    <w:rsid w:val="00117D2A"/>
    <w:rsid w:val="00117DBB"/>
    <w:rsid w:val="00117DEC"/>
    <w:rsid w:val="00120143"/>
    <w:rsid w:val="001201A0"/>
    <w:rsid w:val="001201B5"/>
    <w:rsid w:val="0012028C"/>
    <w:rsid w:val="001202D3"/>
    <w:rsid w:val="00120942"/>
    <w:rsid w:val="00120A39"/>
    <w:rsid w:val="00120C1F"/>
    <w:rsid w:val="00120D2F"/>
    <w:rsid w:val="00120E65"/>
    <w:rsid w:val="001219BD"/>
    <w:rsid w:val="00121A3F"/>
    <w:rsid w:val="00121C0B"/>
    <w:rsid w:val="00121C13"/>
    <w:rsid w:val="00121D45"/>
    <w:rsid w:val="00121DBB"/>
    <w:rsid w:val="00121E23"/>
    <w:rsid w:val="00122094"/>
    <w:rsid w:val="0012226A"/>
    <w:rsid w:val="001224B2"/>
    <w:rsid w:val="001224D0"/>
    <w:rsid w:val="001226E0"/>
    <w:rsid w:val="00122AED"/>
    <w:rsid w:val="00122B57"/>
    <w:rsid w:val="00122B93"/>
    <w:rsid w:val="00122CAF"/>
    <w:rsid w:val="00122CF4"/>
    <w:rsid w:val="00122EC8"/>
    <w:rsid w:val="00123060"/>
    <w:rsid w:val="001230D0"/>
    <w:rsid w:val="00123169"/>
    <w:rsid w:val="001232ED"/>
    <w:rsid w:val="0012356E"/>
    <w:rsid w:val="00123719"/>
    <w:rsid w:val="001237DC"/>
    <w:rsid w:val="00123869"/>
    <w:rsid w:val="00123A17"/>
    <w:rsid w:val="00123B56"/>
    <w:rsid w:val="00123CE0"/>
    <w:rsid w:val="00123D65"/>
    <w:rsid w:val="00123EEA"/>
    <w:rsid w:val="001240D7"/>
    <w:rsid w:val="001243C2"/>
    <w:rsid w:val="001243EB"/>
    <w:rsid w:val="00124709"/>
    <w:rsid w:val="00124878"/>
    <w:rsid w:val="00124A3D"/>
    <w:rsid w:val="00124E20"/>
    <w:rsid w:val="00124E8C"/>
    <w:rsid w:val="00124FBF"/>
    <w:rsid w:val="001250BF"/>
    <w:rsid w:val="001250C6"/>
    <w:rsid w:val="00125292"/>
    <w:rsid w:val="001252A5"/>
    <w:rsid w:val="0012537C"/>
    <w:rsid w:val="00125956"/>
    <w:rsid w:val="001259C0"/>
    <w:rsid w:val="00125EE1"/>
    <w:rsid w:val="0012606A"/>
    <w:rsid w:val="001262F2"/>
    <w:rsid w:val="00126548"/>
    <w:rsid w:val="00126AB6"/>
    <w:rsid w:val="00126B91"/>
    <w:rsid w:val="00126C11"/>
    <w:rsid w:val="00126CB9"/>
    <w:rsid w:val="00126DD5"/>
    <w:rsid w:val="00126DD6"/>
    <w:rsid w:val="00126E62"/>
    <w:rsid w:val="0012708B"/>
    <w:rsid w:val="0012727A"/>
    <w:rsid w:val="001272C9"/>
    <w:rsid w:val="00127462"/>
    <w:rsid w:val="00127EA4"/>
    <w:rsid w:val="00127F3F"/>
    <w:rsid w:val="00127FE2"/>
    <w:rsid w:val="0013003B"/>
    <w:rsid w:val="001300A6"/>
    <w:rsid w:val="00130213"/>
    <w:rsid w:val="0013024F"/>
    <w:rsid w:val="001302AD"/>
    <w:rsid w:val="0013067B"/>
    <w:rsid w:val="00130978"/>
    <w:rsid w:val="00130AE6"/>
    <w:rsid w:val="00130B5D"/>
    <w:rsid w:val="00130E68"/>
    <w:rsid w:val="00130EAF"/>
    <w:rsid w:val="001310CD"/>
    <w:rsid w:val="00131475"/>
    <w:rsid w:val="001315F1"/>
    <w:rsid w:val="0013163D"/>
    <w:rsid w:val="001316CC"/>
    <w:rsid w:val="0013190F"/>
    <w:rsid w:val="00131975"/>
    <w:rsid w:val="00131A94"/>
    <w:rsid w:val="00131DDE"/>
    <w:rsid w:val="0013251F"/>
    <w:rsid w:val="00132C04"/>
    <w:rsid w:val="00132DB1"/>
    <w:rsid w:val="00132E53"/>
    <w:rsid w:val="00132FAF"/>
    <w:rsid w:val="0013303C"/>
    <w:rsid w:val="001332E7"/>
    <w:rsid w:val="00133495"/>
    <w:rsid w:val="001337FF"/>
    <w:rsid w:val="0013384F"/>
    <w:rsid w:val="00133865"/>
    <w:rsid w:val="00133B1D"/>
    <w:rsid w:val="00133CFD"/>
    <w:rsid w:val="00133D58"/>
    <w:rsid w:val="00133DFC"/>
    <w:rsid w:val="0013405C"/>
    <w:rsid w:val="001341F0"/>
    <w:rsid w:val="00134295"/>
    <w:rsid w:val="00134871"/>
    <w:rsid w:val="00134926"/>
    <w:rsid w:val="00134B01"/>
    <w:rsid w:val="00134D60"/>
    <w:rsid w:val="00135073"/>
    <w:rsid w:val="00135174"/>
    <w:rsid w:val="0013526F"/>
    <w:rsid w:val="0013532D"/>
    <w:rsid w:val="001355E0"/>
    <w:rsid w:val="00135808"/>
    <w:rsid w:val="001358F8"/>
    <w:rsid w:val="00135939"/>
    <w:rsid w:val="00135981"/>
    <w:rsid w:val="001359AD"/>
    <w:rsid w:val="00136123"/>
    <w:rsid w:val="001363DB"/>
    <w:rsid w:val="00136682"/>
    <w:rsid w:val="00136BA1"/>
    <w:rsid w:val="0013744D"/>
    <w:rsid w:val="001375C7"/>
    <w:rsid w:val="0013791D"/>
    <w:rsid w:val="001401AE"/>
    <w:rsid w:val="001408CC"/>
    <w:rsid w:val="00140A56"/>
    <w:rsid w:val="00140A9D"/>
    <w:rsid w:val="00140BA5"/>
    <w:rsid w:val="00140D72"/>
    <w:rsid w:val="0014106D"/>
    <w:rsid w:val="0014123E"/>
    <w:rsid w:val="0014175F"/>
    <w:rsid w:val="00141789"/>
    <w:rsid w:val="001419E9"/>
    <w:rsid w:val="00141D57"/>
    <w:rsid w:val="00141E39"/>
    <w:rsid w:val="00142093"/>
    <w:rsid w:val="001420D6"/>
    <w:rsid w:val="001423BF"/>
    <w:rsid w:val="00142441"/>
    <w:rsid w:val="0014261C"/>
    <w:rsid w:val="001428FC"/>
    <w:rsid w:val="00142C02"/>
    <w:rsid w:val="00142D6B"/>
    <w:rsid w:val="00142E3A"/>
    <w:rsid w:val="00142FEE"/>
    <w:rsid w:val="0014325E"/>
    <w:rsid w:val="001432E9"/>
    <w:rsid w:val="0014334F"/>
    <w:rsid w:val="001435A2"/>
    <w:rsid w:val="00143744"/>
    <w:rsid w:val="001437A1"/>
    <w:rsid w:val="00143958"/>
    <w:rsid w:val="00143963"/>
    <w:rsid w:val="00143A16"/>
    <w:rsid w:val="00143C38"/>
    <w:rsid w:val="00143D84"/>
    <w:rsid w:val="00143EAD"/>
    <w:rsid w:val="00143FF4"/>
    <w:rsid w:val="00144565"/>
    <w:rsid w:val="00144620"/>
    <w:rsid w:val="0014483E"/>
    <w:rsid w:val="0014484A"/>
    <w:rsid w:val="00144FDA"/>
    <w:rsid w:val="0014518B"/>
    <w:rsid w:val="001452EE"/>
    <w:rsid w:val="001457B7"/>
    <w:rsid w:val="001457DC"/>
    <w:rsid w:val="001458ED"/>
    <w:rsid w:val="00145BE9"/>
    <w:rsid w:val="0014601E"/>
    <w:rsid w:val="00146072"/>
    <w:rsid w:val="00146228"/>
    <w:rsid w:val="001462A7"/>
    <w:rsid w:val="00146353"/>
    <w:rsid w:val="00146397"/>
    <w:rsid w:val="001463FE"/>
    <w:rsid w:val="00146468"/>
    <w:rsid w:val="00146478"/>
    <w:rsid w:val="00146893"/>
    <w:rsid w:val="00146BED"/>
    <w:rsid w:val="00146C22"/>
    <w:rsid w:val="00146D68"/>
    <w:rsid w:val="00146F26"/>
    <w:rsid w:val="0014700A"/>
    <w:rsid w:val="001470EE"/>
    <w:rsid w:val="00147220"/>
    <w:rsid w:val="00147620"/>
    <w:rsid w:val="00147689"/>
    <w:rsid w:val="00147750"/>
    <w:rsid w:val="001477A0"/>
    <w:rsid w:val="00147890"/>
    <w:rsid w:val="0014790D"/>
    <w:rsid w:val="001479EA"/>
    <w:rsid w:val="00147CAC"/>
    <w:rsid w:val="0015068B"/>
    <w:rsid w:val="0015073C"/>
    <w:rsid w:val="0015085F"/>
    <w:rsid w:val="001508C3"/>
    <w:rsid w:val="001508EC"/>
    <w:rsid w:val="00150B50"/>
    <w:rsid w:val="00150B72"/>
    <w:rsid w:val="00150C1C"/>
    <w:rsid w:val="00150D3C"/>
    <w:rsid w:val="00150DA9"/>
    <w:rsid w:val="001510DE"/>
    <w:rsid w:val="001512FE"/>
    <w:rsid w:val="00151358"/>
    <w:rsid w:val="001513E8"/>
    <w:rsid w:val="00151583"/>
    <w:rsid w:val="001515F0"/>
    <w:rsid w:val="00151949"/>
    <w:rsid w:val="00151965"/>
    <w:rsid w:val="00151BDE"/>
    <w:rsid w:val="00151C53"/>
    <w:rsid w:val="00151C83"/>
    <w:rsid w:val="00151D97"/>
    <w:rsid w:val="00151E29"/>
    <w:rsid w:val="00151FF2"/>
    <w:rsid w:val="0015225F"/>
    <w:rsid w:val="001523C9"/>
    <w:rsid w:val="001524E8"/>
    <w:rsid w:val="00152638"/>
    <w:rsid w:val="00152902"/>
    <w:rsid w:val="0015295E"/>
    <w:rsid w:val="00152EEB"/>
    <w:rsid w:val="00152EF7"/>
    <w:rsid w:val="00153059"/>
    <w:rsid w:val="00153226"/>
    <w:rsid w:val="0015342F"/>
    <w:rsid w:val="001534F6"/>
    <w:rsid w:val="001540C3"/>
    <w:rsid w:val="001540DE"/>
    <w:rsid w:val="00154113"/>
    <w:rsid w:val="001543CB"/>
    <w:rsid w:val="00154481"/>
    <w:rsid w:val="001545C3"/>
    <w:rsid w:val="0015463F"/>
    <w:rsid w:val="00154B46"/>
    <w:rsid w:val="00154CEF"/>
    <w:rsid w:val="00154DD8"/>
    <w:rsid w:val="00155213"/>
    <w:rsid w:val="001552FC"/>
    <w:rsid w:val="00155347"/>
    <w:rsid w:val="001553EF"/>
    <w:rsid w:val="001557D4"/>
    <w:rsid w:val="001557D8"/>
    <w:rsid w:val="0015587D"/>
    <w:rsid w:val="00155884"/>
    <w:rsid w:val="00155910"/>
    <w:rsid w:val="00155DC2"/>
    <w:rsid w:val="001560F6"/>
    <w:rsid w:val="0015627F"/>
    <w:rsid w:val="00156798"/>
    <w:rsid w:val="00156ACF"/>
    <w:rsid w:val="00156BF6"/>
    <w:rsid w:val="00156D53"/>
    <w:rsid w:val="00156E3D"/>
    <w:rsid w:val="001570A3"/>
    <w:rsid w:val="00157330"/>
    <w:rsid w:val="00157732"/>
    <w:rsid w:val="0015782C"/>
    <w:rsid w:val="00157838"/>
    <w:rsid w:val="00157AE5"/>
    <w:rsid w:val="00157BAC"/>
    <w:rsid w:val="00157C6B"/>
    <w:rsid w:val="0016018E"/>
    <w:rsid w:val="0016019E"/>
    <w:rsid w:val="0016028B"/>
    <w:rsid w:val="001603AC"/>
    <w:rsid w:val="00160537"/>
    <w:rsid w:val="0016058D"/>
    <w:rsid w:val="001605EA"/>
    <w:rsid w:val="0016060A"/>
    <w:rsid w:val="00160667"/>
    <w:rsid w:val="00160748"/>
    <w:rsid w:val="00160924"/>
    <w:rsid w:val="00160974"/>
    <w:rsid w:val="00160C3F"/>
    <w:rsid w:val="00160D6D"/>
    <w:rsid w:val="00160F0F"/>
    <w:rsid w:val="00160FBB"/>
    <w:rsid w:val="00160FBE"/>
    <w:rsid w:val="001610EF"/>
    <w:rsid w:val="0016120C"/>
    <w:rsid w:val="00161399"/>
    <w:rsid w:val="0016155B"/>
    <w:rsid w:val="0016155F"/>
    <w:rsid w:val="00161647"/>
    <w:rsid w:val="00161851"/>
    <w:rsid w:val="00161B5A"/>
    <w:rsid w:val="00161BD3"/>
    <w:rsid w:val="00161BEC"/>
    <w:rsid w:val="00161DFD"/>
    <w:rsid w:val="00162144"/>
    <w:rsid w:val="001622CB"/>
    <w:rsid w:val="0016244C"/>
    <w:rsid w:val="001625EF"/>
    <w:rsid w:val="001626A1"/>
    <w:rsid w:val="00162716"/>
    <w:rsid w:val="0016277A"/>
    <w:rsid w:val="0016293F"/>
    <w:rsid w:val="00163049"/>
    <w:rsid w:val="001630B7"/>
    <w:rsid w:val="0016329A"/>
    <w:rsid w:val="00163504"/>
    <w:rsid w:val="00163663"/>
    <w:rsid w:val="0016366D"/>
    <w:rsid w:val="00163688"/>
    <w:rsid w:val="00163785"/>
    <w:rsid w:val="001637A4"/>
    <w:rsid w:val="00163B79"/>
    <w:rsid w:val="00163CB2"/>
    <w:rsid w:val="00163D92"/>
    <w:rsid w:val="001641C1"/>
    <w:rsid w:val="001642D6"/>
    <w:rsid w:val="001642F3"/>
    <w:rsid w:val="001643B2"/>
    <w:rsid w:val="001646BA"/>
    <w:rsid w:val="00164747"/>
    <w:rsid w:val="0016485E"/>
    <w:rsid w:val="001649DE"/>
    <w:rsid w:val="00164A94"/>
    <w:rsid w:val="00164BE5"/>
    <w:rsid w:val="00164F4E"/>
    <w:rsid w:val="00164F95"/>
    <w:rsid w:val="00165308"/>
    <w:rsid w:val="001655CF"/>
    <w:rsid w:val="00165641"/>
    <w:rsid w:val="00165692"/>
    <w:rsid w:val="001657A8"/>
    <w:rsid w:val="001658AD"/>
    <w:rsid w:val="00165ADD"/>
    <w:rsid w:val="00165D50"/>
    <w:rsid w:val="00166160"/>
    <w:rsid w:val="0016629B"/>
    <w:rsid w:val="00166354"/>
    <w:rsid w:val="00166358"/>
    <w:rsid w:val="00166409"/>
    <w:rsid w:val="0016676F"/>
    <w:rsid w:val="0016684C"/>
    <w:rsid w:val="00166889"/>
    <w:rsid w:val="00166C31"/>
    <w:rsid w:val="00166E88"/>
    <w:rsid w:val="00166EC9"/>
    <w:rsid w:val="001670D7"/>
    <w:rsid w:val="0016732A"/>
    <w:rsid w:val="001673A4"/>
    <w:rsid w:val="00167585"/>
    <w:rsid w:val="0016761A"/>
    <w:rsid w:val="00167AA4"/>
    <w:rsid w:val="00167C8C"/>
    <w:rsid w:val="001703B8"/>
    <w:rsid w:val="001705CE"/>
    <w:rsid w:val="00170639"/>
    <w:rsid w:val="00170928"/>
    <w:rsid w:val="00170B20"/>
    <w:rsid w:val="00170B7E"/>
    <w:rsid w:val="00170D0C"/>
    <w:rsid w:val="00170F52"/>
    <w:rsid w:val="00171093"/>
    <w:rsid w:val="00171155"/>
    <w:rsid w:val="00171361"/>
    <w:rsid w:val="0017156F"/>
    <w:rsid w:val="00171577"/>
    <w:rsid w:val="0017171F"/>
    <w:rsid w:val="00171927"/>
    <w:rsid w:val="00171B3F"/>
    <w:rsid w:val="00171F37"/>
    <w:rsid w:val="001724DA"/>
    <w:rsid w:val="00172793"/>
    <w:rsid w:val="00172A30"/>
    <w:rsid w:val="00172C35"/>
    <w:rsid w:val="00172CA4"/>
    <w:rsid w:val="00172EC1"/>
    <w:rsid w:val="0017332C"/>
    <w:rsid w:val="0017333E"/>
    <w:rsid w:val="001734A4"/>
    <w:rsid w:val="00173567"/>
    <w:rsid w:val="00173975"/>
    <w:rsid w:val="00174031"/>
    <w:rsid w:val="001740DA"/>
    <w:rsid w:val="00174559"/>
    <w:rsid w:val="001745A6"/>
    <w:rsid w:val="001745C3"/>
    <w:rsid w:val="00174622"/>
    <w:rsid w:val="001746FA"/>
    <w:rsid w:val="001748B0"/>
    <w:rsid w:val="00174930"/>
    <w:rsid w:val="00174B4C"/>
    <w:rsid w:val="00174BA7"/>
    <w:rsid w:val="00174C96"/>
    <w:rsid w:val="00174E15"/>
    <w:rsid w:val="00174EBB"/>
    <w:rsid w:val="00174FA7"/>
    <w:rsid w:val="001750EE"/>
    <w:rsid w:val="001753AE"/>
    <w:rsid w:val="0017557B"/>
    <w:rsid w:val="001755F2"/>
    <w:rsid w:val="00175653"/>
    <w:rsid w:val="00175A1F"/>
    <w:rsid w:val="00175A89"/>
    <w:rsid w:val="00175C97"/>
    <w:rsid w:val="00175CB9"/>
    <w:rsid w:val="001765C9"/>
    <w:rsid w:val="001767CD"/>
    <w:rsid w:val="001768FD"/>
    <w:rsid w:val="00176D96"/>
    <w:rsid w:val="00176F7B"/>
    <w:rsid w:val="00176FCE"/>
    <w:rsid w:val="00177068"/>
    <w:rsid w:val="001771E1"/>
    <w:rsid w:val="00177351"/>
    <w:rsid w:val="0017740C"/>
    <w:rsid w:val="00177C4C"/>
    <w:rsid w:val="00177D5D"/>
    <w:rsid w:val="001800D2"/>
    <w:rsid w:val="001803EF"/>
    <w:rsid w:val="001805C1"/>
    <w:rsid w:val="001805FD"/>
    <w:rsid w:val="00180749"/>
    <w:rsid w:val="00180761"/>
    <w:rsid w:val="00180A2C"/>
    <w:rsid w:val="00180A77"/>
    <w:rsid w:val="00180D73"/>
    <w:rsid w:val="00181059"/>
    <w:rsid w:val="001813E8"/>
    <w:rsid w:val="00181534"/>
    <w:rsid w:val="00181783"/>
    <w:rsid w:val="001817A2"/>
    <w:rsid w:val="001818BA"/>
    <w:rsid w:val="00181991"/>
    <w:rsid w:val="00181A22"/>
    <w:rsid w:val="00181DF6"/>
    <w:rsid w:val="00181FD8"/>
    <w:rsid w:val="001821DF"/>
    <w:rsid w:val="0018224A"/>
    <w:rsid w:val="00182393"/>
    <w:rsid w:val="0018251D"/>
    <w:rsid w:val="001827AD"/>
    <w:rsid w:val="00182A25"/>
    <w:rsid w:val="00182AE8"/>
    <w:rsid w:val="00182BA5"/>
    <w:rsid w:val="00182DC6"/>
    <w:rsid w:val="00182F05"/>
    <w:rsid w:val="00182F37"/>
    <w:rsid w:val="00183017"/>
    <w:rsid w:val="0018320E"/>
    <w:rsid w:val="0018336C"/>
    <w:rsid w:val="0018336D"/>
    <w:rsid w:val="00183772"/>
    <w:rsid w:val="00183816"/>
    <w:rsid w:val="0018397B"/>
    <w:rsid w:val="001839D8"/>
    <w:rsid w:val="00183A71"/>
    <w:rsid w:val="00183B5D"/>
    <w:rsid w:val="00183E3D"/>
    <w:rsid w:val="0018409B"/>
    <w:rsid w:val="00184228"/>
    <w:rsid w:val="00184437"/>
    <w:rsid w:val="001847AE"/>
    <w:rsid w:val="00184BB5"/>
    <w:rsid w:val="00184BF9"/>
    <w:rsid w:val="0018504A"/>
    <w:rsid w:val="001852F8"/>
    <w:rsid w:val="00185327"/>
    <w:rsid w:val="00185586"/>
    <w:rsid w:val="0018577B"/>
    <w:rsid w:val="001857C7"/>
    <w:rsid w:val="0018593F"/>
    <w:rsid w:val="00185A10"/>
    <w:rsid w:val="00185A3E"/>
    <w:rsid w:val="00185A8A"/>
    <w:rsid w:val="00185BD4"/>
    <w:rsid w:val="00185C8F"/>
    <w:rsid w:val="00185DEA"/>
    <w:rsid w:val="00185EFA"/>
    <w:rsid w:val="00186297"/>
    <w:rsid w:val="00186323"/>
    <w:rsid w:val="001864ED"/>
    <w:rsid w:val="001865AC"/>
    <w:rsid w:val="00186782"/>
    <w:rsid w:val="00186803"/>
    <w:rsid w:val="00186879"/>
    <w:rsid w:val="00186976"/>
    <w:rsid w:val="00186B67"/>
    <w:rsid w:val="00186BB1"/>
    <w:rsid w:val="00186D01"/>
    <w:rsid w:val="001871D1"/>
    <w:rsid w:val="001872EA"/>
    <w:rsid w:val="0018740D"/>
    <w:rsid w:val="00187544"/>
    <w:rsid w:val="0018755D"/>
    <w:rsid w:val="001876AC"/>
    <w:rsid w:val="00187A80"/>
    <w:rsid w:val="00187AFA"/>
    <w:rsid w:val="00187B9E"/>
    <w:rsid w:val="00187BE3"/>
    <w:rsid w:val="00187C69"/>
    <w:rsid w:val="00187C74"/>
    <w:rsid w:val="00187D67"/>
    <w:rsid w:val="00187D95"/>
    <w:rsid w:val="00187FBC"/>
    <w:rsid w:val="0019005A"/>
    <w:rsid w:val="001901A4"/>
    <w:rsid w:val="0019048C"/>
    <w:rsid w:val="0019052E"/>
    <w:rsid w:val="00190927"/>
    <w:rsid w:val="001909C5"/>
    <w:rsid w:val="00190C88"/>
    <w:rsid w:val="00190CA0"/>
    <w:rsid w:val="00190CAF"/>
    <w:rsid w:val="00190F52"/>
    <w:rsid w:val="00191118"/>
    <w:rsid w:val="001914F6"/>
    <w:rsid w:val="001916DD"/>
    <w:rsid w:val="0019180F"/>
    <w:rsid w:val="00191E45"/>
    <w:rsid w:val="001921EC"/>
    <w:rsid w:val="001925BB"/>
    <w:rsid w:val="00192AC5"/>
    <w:rsid w:val="00192B78"/>
    <w:rsid w:val="00192BE7"/>
    <w:rsid w:val="00192CEC"/>
    <w:rsid w:val="00192F61"/>
    <w:rsid w:val="001930F5"/>
    <w:rsid w:val="00193455"/>
    <w:rsid w:val="00193668"/>
    <w:rsid w:val="00193AD3"/>
    <w:rsid w:val="00193B81"/>
    <w:rsid w:val="00193BA6"/>
    <w:rsid w:val="00193CC1"/>
    <w:rsid w:val="001940ED"/>
    <w:rsid w:val="001940F1"/>
    <w:rsid w:val="0019419C"/>
    <w:rsid w:val="00194201"/>
    <w:rsid w:val="00194220"/>
    <w:rsid w:val="001944A9"/>
    <w:rsid w:val="00194692"/>
    <w:rsid w:val="00194AE7"/>
    <w:rsid w:val="00194B62"/>
    <w:rsid w:val="00194E5C"/>
    <w:rsid w:val="00194F29"/>
    <w:rsid w:val="0019502D"/>
    <w:rsid w:val="00195131"/>
    <w:rsid w:val="00195171"/>
    <w:rsid w:val="00195221"/>
    <w:rsid w:val="001956AD"/>
    <w:rsid w:val="00195B3C"/>
    <w:rsid w:val="00195C08"/>
    <w:rsid w:val="0019628F"/>
    <w:rsid w:val="001966AC"/>
    <w:rsid w:val="0019699C"/>
    <w:rsid w:val="00196A1C"/>
    <w:rsid w:val="00196A9F"/>
    <w:rsid w:val="00196EAD"/>
    <w:rsid w:val="00197067"/>
    <w:rsid w:val="0019708D"/>
    <w:rsid w:val="001971EE"/>
    <w:rsid w:val="0019737B"/>
    <w:rsid w:val="00197392"/>
    <w:rsid w:val="001977B0"/>
    <w:rsid w:val="001979A1"/>
    <w:rsid w:val="001A0449"/>
    <w:rsid w:val="001A073B"/>
    <w:rsid w:val="001A0812"/>
    <w:rsid w:val="001A0887"/>
    <w:rsid w:val="001A0B2E"/>
    <w:rsid w:val="001A0BC5"/>
    <w:rsid w:val="001A0BC8"/>
    <w:rsid w:val="001A0BCD"/>
    <w:rsid w:val="001A0BEE"/>
    <w:rsid w:val="001A0CA3"/>
    <w:rsid w:val="001A0EF0"/>
    <w:rsid w:val="001A0FEA"/>
    <w:rsid w:val="001A155F"/>
    <w:rsid w:val="001A19B6"/>
    <w:rsid w:val="001A19C9"/>
    <w:rsid w:val="001A19EC"/>
    <w:rsid w:val="001A1C04"/>
    <w:rsid w:val="001A1D0E"/>
    <w:rsid w:val="001A1E66"/>
    <w:rsid w:val="001A1F50"/>
    <w:rsid w:val="001A2083"/>
    <w:rsid w:val="001A20DB"/>
    <w:rsid w:val="001A21B9"/>
    <w:rsid w:val="001A2410"/>
    <w:rsid w:val="001A24A0"/>
    <w:rsid w:val="001A2CAC"/>
    <w:rsid w:val="001A2EE2"/>
    <w:rsid w:val="001A2F50"/>
    <w:rsid w:val="001A3269"/>
    <w:rsid w:val="001A341B"/>
    <w:rsid w:val="001A348E"/>
    <w:rsid w:val="001A37BE"/>
    <w:rsid w:val="001A39A8"/>
    <w:rsid w:val="001A3A6B"/>
    <w:rsid w:val="001A3BAB"/>
    <w:rsid w:val="001A3C8E"/>
    <w:rsid w:val="001A3CCD"/>
    <w:rsid w:val="001A3FB5"/>
    <w:rsid w:val="001A4213"/>
    <w:rsid w:val="001A4273"/>
    <w:rsid w:val="001A45DC"/>
    <w:rsid w:val="001A46DF"/>
    <w:rsid w:val="001A494D"/>
    <w:rsid w:val="001A4B63"/>
    <w:rsid w:val="001A4CB8"/>
    <w:rsid w:val="001A4CBF"/>
    <w:rsid w:val="001A4E9F"/>
    <w:rsid w:val="001A528A"/>
    <w:rsid w:val="001A56DE"/>
    <w:rsid w:val="001A5754"/>
    <w:rsid w:val="001A58A7"/>
    <w:rsid w:val="001A595C"/>
    <w:rsid w:val="001A59BC"/>
    <w:rsid w:val="001A5BB5"/>
    <w:rsid w:val="001A5DA7"/>
    <w:rsid w:val="001A6392"/>
    <w:rsid w:val="001A63F8"/>
    <w:rsid w:val="001A64D8"/>
    <w:rsid w:val="001A66DD"/>
    <w:rsid w:val="001A67C5"/>
    <w:rsid w:val="001A67EB"/>
    <w:rsid w:val="001A6839"/>
    <w:rsid w:val="001A695F"/>
    <w:rsid w:val="001A698A"/>
    <w:rsid w:val="001A69EB"/>
    <w:rsid w:val="001A6BA1"/>
    <w:rsid w:val="001A6CF8"/>
    <w:rsid w:val="001A6D88"/>
    <w:rsid w:val="001A6DFF"/>
    <w:rsid w:val="001A708F"/>
    <w:rsid w:val="001A72A7"/>
    <w:rsid w:val="001A72B7"/>
    <w:rsid w:val="001A7991"/>
    <w:rsid w:val="001A7ACB"/>
    <w:rsid w:val="001A7B83"/>
    <w:rsid w:val="001A7E68"/>
    <w:rsid w:val="001A7EA3"/>
    <w:rsid w:val="001A7F03"/>
    <w:rsid w:val="001B0110"/>
    <w:rsid w:val="001B0333"/>
    <w:rsid w:val="001B0342"/>
    <w:rsid w:val="001B0347"/>
    <w:rsid w:val="001B04F6"/>
    <w:rsid w:val="001B07FA"/>
    <w:rsid w:val="001B0903"/>
    <w:rsid w:val="001B094E"/>
    <w:rsid w:val="001B0AA8"/>
    <w:rsid w:val="001B0B07"/>
    <w:rsid w:val="001B0BEE"/>
    <w:rsid w:val="001B141D"/>
    <w:rsid w:val="001B1B97"/>
    <w:rsid w:val="001B1C62"/>
    <w:rsid w:val="001B1CE2"/>
    <w:rsid w:val="001B1D2F"/>
    <w:rsid w:val="001B1E07"/>
    <w:rsid w:val="001B21FF"/>
    <w:rsid w:val="001B249D"/>
    <w:rsid w:val="001B26D2"/>
    <w:rsid w:val="001B2736"/>
    <w:rsid w:val="001B282E"/>
    <w:rsid w:val="001B2968"/>
    <w:rsid w:val="001B2BB8"/>
    <w:rsid w:val="001B2E73"/>
    <w:rsid w:val="001B2ED2"/>
    <w:rsid w:val="001B2F53"/>
    <w:rsid w:val="001B32F7"/>
    <w:rsid w:val="001B35C0"/>
    <w:rsid w:val="001B360A"/>
    <w:rsid w:val="001B3708"/>
    <w:rsid w:val="001B3F71"/>
    <w:rsid w:val="001B3F95"/>
    <w:rsid w:val="001B4028"/>
    <w:rsid w:val="001B4043"/>
    <w:rsid w:val="001B45BA"/>
    <w:rsid w:val="001B463F"/>
    <w:rsid w:val="001B47E0"/>
    <w:rsid w:val="001B481C"/>
    <w:rsid w:val="001B4A98"/>
    <w:rsid w:val="001B4D64"/>
    <w:rsid w:val="001B501E"/>
    <w:rsid w:val="001B522A"/>
    <w:rsid w:val="001B54B7"/>
    <w:rsid w:val="001B5541"/>
    <w:rsid w:val="001B5752"/>
    <w:rsid w:val="001B57C4"/>
    <w:rsid w:val="001B5800"/>
    <w:rsid w:val="001B5971"/>
    <w:rsid w:val="001B5CC8"/>
    <w:rsid w:val="001B62D6"/>
    <w:rsid w:val="001B62F2"/>
    <w:rsid w:val="001B6504"/>
    <w:rsid w:val="001B6836"/>
    <w:rsid w:val="001B69C6"/>
    <w:rsid w:val="001B69FB"/>
    <w:rsid w:val="001B6B6E"/>
    <w:rsid w:val="001B6B76"/>
    <w:rsid w:val="001B6C70"/>
    <w:rsid w:val="001B6D44"/>
    <w:rsid w:val="001B6E46"/>
    <w:rsid w:val="001B6EB7"/>
    <w:rsid w:val="001B6EE7"/>
    <w:rsid w:val="001B6FDE"/>
    <w:rsid w:val="001B7172"/>
    <w:rsid w:val="001B735C"/>
    <w:rsid w:val="001B7555"/>
    <w:rsid w:val="001B7974"/>
    <w:rsid w:val="001B7CCC"/>
    <w:rsid w:val="001B7D2A"/>
    <w:rsid w:val="001B7EB2"/>
    <w:rsid w:val="001C0393"/>
    <w:rsid w:val="001C042B"/>
    <w:rsid w:val="001C073C"/>
    <w:rsid w:val="001C0A0E"/>
    <w:rsid w:val="001C0BE9"/>
    <w:rsid w:val="001C0C7A"/>
    <w:rsid w:val="001C0DA0"/>
    <w:rsid w:val="001C1A18"/>
    <w:rsid w:val="001C1D20"/>
    <w:rsid w:val="001C1D8A"/>
    <w:rsid w:val="001C206E"/>
    <w:rsid w:val="001C2192"/>
    <w:rsid w:val="001C2304"/>
    <w:rsid w:val="001C23CF"/>
    <w:rsid w:val="001C2482"/>
    <w:rsid w:val="001C2980"/>
    <w:rsid w:val="001C2A7E"/>
    <w:rsid w:val="001C2BD3"/>
    <w:rsid w:val="001C2DFC"/>
    <w:rsid w:val="001C2E59"/>
    <w:rsid w:val="001C2F77"/>
    <w:rsid w:val="001C305B"/>
    <w:rsid w:val="001C30A3"/>
    <w:rsid w:val="001C30E8"/>
    <w:rsid w:val="001C3360"/>
    <w:rsid w:val="001C33FC"/>
    <w:rsid w:val="001C34FA"/>
    <w:rsid w:val="001C3554"/>
    <w:rsid w:val="001C3569"/>
    <w:rsid w:val="001C3574"/>
    <w:rsid w:val="001C36E7"/>
    <w:rsid w:val="001C36FE"/>
    <w:rsid w:val="001C3779"/>
    <w:rsid w:val="001C391F"/>
    <w:rsid w:val="001C3998"/>
    <w:rsid w:val="001C3B71"/>
    <w:rsid w:val="001C3C40"/>
    <w:rsid w:val="001C3C5D"/>
    <w:rsid w:val="001C3D4E"/>
    <w:rsid w:val="001C3D4F"/>
    <w:rsid w:val="001C4591"/>
    <w:rsid w:val="001C47AF"/>
    <w:rsid w:val="001C4865"/>
    <w:rsid w:val="001C4880"/>
    <w:rsid w:val="001C4919"/>
    <w:rsid w:val="001C4D13"/>
    <w:rsid w:val="001C4E90"/>
    <w:rsid w:val="001C4F18"/>
    <w:rsid w:val="001C5095"/>
    <w:rsid w:val="001C53AD"/>
    <w:rsid w:val="001C53B4"/>
    <w:rsid w:val="001C561F"/>
    <w:rsid w:val="001C5CD0"/>
    <w:rsid w:val="001C5E9C"/>
    <w:rsid w:val="001C6048"/>
    <w:rsid w:val="001C61BB"/>
    <w:rsid w:val="001C61C3"/>
    <w:rsid w:val="001C64AE"/>
    <w:rsid w:val="001C6685"/>
    <w:rsid w:val="001C66A5"/>
    <w:rsid w:val="001C6795"/>
    <w:rsid w:val="001C6872"/>
    <w:rsid w:val="001C694C"/>
    <w:rsid w:val="001C6BAF"/>
    <w:rsid w:val="001C6D60"/>
    <w:rsid w:val="001C6E8F"/>
    <w:rsid w:val="001C6ED6"/>
    <w:rsid w:val="001C7001"/>
    <w:rsid w:val="001C7005"/>
    <w:rsid w:val="001C707F"/>
    <w:rsid w:val="001C734C"/>
    <w:rsid w:val="001C73CD"/>
    <w:rsid w:val="001C778A"/>
    <w:rsid w:val="001C7950"/>
    <w:rsid w:val="001C7A1C"/>
    <w:rsid w:val="001C7A93"/>
    <w:rsid w:val="001C7ED9"/>
    <w:rsid w:val="001D011B"/>
    <w:rsid w:val="001D01A7"/>
    <w:rsid w:val="001D0261"/>
    <w:rsid w:val="001D048A"/>
    <w:rsid w:val="001D04A1"/>
    <w:rsid w:val="001D0579"/>
    <w:rsid w:val="001D0A4B"/>
    <w:rsid w:val="001D0ACC"/>
    <w:rsid w:val="001D0B87"/>
    <w:rsid w:val="001D0E41"/>
    <w:rsid w:val="001D0FEF"/>
    <w:rsid w:val="001D124F"/>
    <w:rsid w:val="001D12AD"/>
    <w:rsid w:val="001D166F"/>
    <w:rsid w:val="001D16C7"/>
    <w:rsid w:val="001D1CB8"/>
    <w:rsid w:val="001D1D32"/>
    <w:rsid w:val="001D1D79"/>
    <w:rsid w:val="001D1E7A"/>
    <w:rsid w:val="001D2152"/>
    <w:rsid w:val="001D21AC"/>
    <w:rsid w:val="001D22C9"/>
    <w:rsid w:val="001D26F3"/>
    <w:rsid w:val="001D280F"/>
    <w:rsid w:val="001D2857"/>
    <w:rsid w:val="001D28EB"/>
    <w:rsid w:val="001D2B78"/>
    <w:rsid w:val="001D2D91"/>
    <w:rsid w:val="001D2E05"/>
    <w:rsid w:val="001D307A"/>
    <w:rsid w:val="001D31FE"/>
    <w:rsid w:val="001D3612"/>
    <w:rsid w:val="001D40EC"/>
    <w:rsid w:val="001D4316"/>
    <w:rsid w:val="001D4345"/>
    <w:rsid w:val="001D45A1"/>
    <w:rsid w:val="001D45F2"/>
    <w:rsid w:val="001D4989"/>
    <w:rsid w:val="001D4C71"/>
    <w:rsid w:val="001D4D40"/>
    <w:rsid w:val="001D4E02"/>
    <w:rsid w:val="001D50DC"/>
    <w:rsid w:val="001D522D"/>
    <w:rsid w:val="001D527A"/>
    <w:rsid w:val="001D532A"/>
    <w:rsid w:val="001D5414"/>
    <w:rsid w:val="001D543B"/>
    <w:rsid w:val="001D57E4"/>
    <w:rsid w:val="001D59E3"/>
    <w:rsid w:val="001D5AEF"/>
    <w:rsid w:val="001D5D5E"/>
    <w:rsid w:val="001D6172"/>
    <w:rsid w:val="001D6178"/>
    <w:rsid w:val="001D6334"/>
    <w:rsid w:val="001D668B"/>
    <w:rsid w:val="001D66DA"/>
    <w:rsid w:val="001D686C"/>
    <w:rsid w:val="001D687F"/>
    <w:rsid w:val="001D6B2D"/>
    <w:rsid w:val="001D6FE7"/>
    <w:rsid w:val="001D7086"/>
    <w:rsid w:val="001D7270"/>
    <w:rsid w:val="001D733D"/>
    <w:rsid w:val="001D74FA"/>
    <w:rsid w:val="001D7691"/>
    <w:rsid w:val="001D7800"/>
    <w:rsid w:val="001D7888"/>
    <w:rsid w:val="001D7ADB"/>
    <w:rsid w:val="001D7ADC"/>
    <w:rsid w:val="001E013F"/>
    <w:rsid w:val="001E0300"/>
    <w:rsid w:val="001E0516"/>
    <w:rsid w:val="001E0633"/>
    <w:rsid w:val="001E0677"/>
    <w:rsid w:val="001E0823"/>
    <w:rsid w:val="001E0A2E"/>
    <w:rsid w:val="001E0BAA"/>
    <w:rsid w:val="001E0C50"/>
    <w:rsid w:val="001E0D78"/>
    <w:rsid w:val="001E0DD4"/>
    <w:rsid w:val="001E1065"/>
    <w:rsid w:val="001E13B0"/>
    <w:rsid w:val="001E1785"/>
    <w:rsid w:val="001E19E5"/>
    <w:rsid w:val="001E19EA"/>
    <w:rsid w:val="001E1C93"/>
    <w:rsid w:val="001E1FA7"/>
    <w:rsid w:val="001E1FC8"/>
    <w:rsid w:val="001E2101"/>
    <w:rsid w:val="001E230E"/>
    <w:rsid w:val="001E2533"/>
    <w:rsid w:val="001E2A98"/>
    <w:rsid w:val="001E2FDE"/>
    <w:rsid w:val="001E31A8"/>
    <w:rsid w:val="001E3291"/>
    <w:rsid w:val="001E32CB"/>
    <w:rsid w:val="001E32EB"/>
    <w:rsid w:val="001E334C"/>
    <w:rsid w:val="001E34A4"/>
    <w:rsid w:val="001E34AA"/>
    <w:rsid w:val="001E34F4"/>
    <w:rsid w:val="001E37E2"/>
    <w:rsid w:val="001E3828"/>
    <w:rsid w:val="001E38A9"/>
    <w:rsid w:val="001E394C"/>
    <w:rsid w:val="001E3B91"/>
    <w:rsid w:val="001E3C17"/>
    <w:rsid w:val="001E3CD4"/>
    <w:rsid w:val="001E4144"/>
    <w:rsid w:val="001E4146"/>
    <w:rsid w:val="001E41DF"/>
    <w:rsid w:val="001E4460"/>
    <w:rsid w:val="001E44B2"/>
    <w:rsid w:val="001E453D"/>
    <w:rsid w:val="001E453E"/>
    <w:rsid w:val="001E481F"/>
    <w:rsid w:val="001E49CD"/>
    <w:rsid w:val="001E4BFE"/>
    <w:rsid w:val="001E4F86"/>
    <w:rsid w:val="001E5011"/>
    <w:rsid w:val="001E51BB"/>
    <w:rsid w:val="001E51E6"/>
    <w:rsid w:val="001E5229"/>
    <w:rsid w:val="001E53B7"/>
    <w:rsid w:val="001E54E6"/>
    <w:rsid w:val="001E558E"/>
    <w:rsid w:val="001E585F"/>
    <w:rsid w:val="001E59B1"/>
    <w:rsid w:val="001E5B10"/>
    <w:rsid w:val="001E5C13"/>
    <w:rsid w:val="001E5C2C"/>
    <w:rsid w:val="001E5EC5"/>
    <w:rsid w:val="001E5F05"/>
    <w:rsid w:val="001E60F9"/>
    <w:rsid w:val="001E61E5"/>
    <w:rsid w:val="001E651B"/>
    <w:rsid w:val="001E65BE"/>
    <w:rsid w:val="001E66B1"/>
    <w:rsid w:val="001E66F9"/>
    <w:rsid w:val="001E69E8"/>
    <w:rsid w:val="001E6BF8"/>
    <w:rsid w:val="001E6C15"/>
    <w:rsid w:val="001E6DE0"/>
    <w:rsid w:val="001E6F4A"/>
    <w:rsid w:val="001E6F85"/>
    <w:rsid w:val="001E763B"/>
    <w:rsid w:val="001E784F"/>
    <w:rsid w:val="001E7852"/>
    <w:rsid w:val="001E7B2A"/>
    <w:rsid w:val="001E7D00"/>
    <w:rsid w:val="001E7DA4"/>
    <w:rsid w:val="001E7F63"/>
    <w:rsid w:val="001F051A"/>
    <w:rsid w:val="001F05ED"/>
    <w:rsid w:val="001F0DE9"/>
    <w:rsid w:val="001F1110"/>
    <w:rsid w:val="001F11BC"/>
    <w:rsid w:val="001F1206"/>
    <w:rsid w:val="001F1218"/>
    <w:rsid w:val="001F1341"/>
    <w:rsid w:val="001F14D5"/>
    <w:rsid w:val="001F1784"/>
    <w:rsid w:val="001F183D"/>
    <w:rsid w:val="001F1887"/>
    <w:rsid w:val="001F1C6F"/>
    <w:rsid w:val="001F1D2C"/>
    <w:rsid w:val="001F1D48"/>
    <w:rsid w:val="001F1D8F"/>
    <w:rsid w:val="001F1DE2"/>
    <w:rsid w:val="001F1E84"/>
    <w:rsid w:val="001F1E9D"/>
    <w:rsid w:val="001F1FAE"/>
    <w:rsid w:val="001F20B5"/>
    <w:rsid w:val="001F210D"/>
    <w:rsid w:val="001F2228"/>
    <w:rsid w:val="001F22DB"/>
    <w:rsid w:val="001F22FC"/>
    <w:rsid w:val="001F2445"/>
    <w:rsid w:val="001F2498"/>
    <w:rsid w:val="001F24CC"/>
    <w:rsid w:val="001F2513"/>
    <w:rsid w:val="001F282E"/>
    <w:rsid w:val="001F2B79"/>
    <w:rsid w:val="001F2BBE"/>
    <w:rsid w:val="001F2C71"/>
    <w:rsid w:val="001F2E96"/>
    <w:rsid w:val="001F2FE0"/>
    <w:rsid w:val="001F33D6"/>
    <w:rsid w:val="001F35F4"/>
    <w:rsid w:val="001F365B"/>
    <w:rsid w:val="001F37CA"/>
    <w:rsid w:val="001F3830"/>
    <w:rsid w:val="001F3852"/>
    <w:rsid w:val="001F396C"/>
    <w:rsid w:val="001F3B0B"/>
    <w:rsid w:val="001F3C7C"/>
    <w:rsid w:val="001F3F51"/>
    <w:rsid w:val="001F3F87"/>
    <w:rsid w:val="001F40E1"/>
    <w:rsid w:val="001F412A"/>
    <w:rsid w:val="001F437D"/>
    <w:rsid w:val="001F43E1"/>
    <w:rsid w:val="001F45F4"/>
    <w:rsid w:val="001F4602"/>
    <w:rsid w:val="001F463D"/>
    <w:rsid w:val="001F47C1"/>
    <w:rsid w:val="001F4949"/>
    <w:rsid w:val="001F4C07"/>
    <w:rsid w:val="001F4D89"/>
    <w:rsid w:val="001F4E41"/>
    <w:rsid w:val="001F4F61"/>
    <w:rsid w:val="001F533D"/>
    <w:rsid w:val="001F555B"/>
    <w:rsid w:val="001F565C"/>
    <w:rsid w:val="001F56BA"/>
    <w:rsid w:val="001F57FD"/>
    <w:rsid w:val="001F5857"/>
    <w:rsid w:val="001F5889"/>
    <w:rsid w:val="001F5A00"/>
    <w:rsid w:val="001F5B0D"/>
    <w:rsid w:val="001F629B"/>
    <w:rsid w:val="001F62A5"/>
    <w:rsid w:val="001F62B4"/>
    <w:rsid w:val="001F6349"/>
    <w:rsid w:val="001F6351"/>
    <w:rsid w:val="001F643E"/>
    <w:rsid w:val="001F6513"/>
    <w:rsid w:val="001F69C3"/>
    <w:rsid w:val="001F69DE"/>
    <w:rsid w:val="001F6D70"/>
    <w:rsid w:val="001F6E6F"/>
    <w:rsid w:val="001F70FE"/>
    <w:rsid w:val="001F7390"/>
    <w:rsid w:val="001F7553"/>
    <w:rsid w:val="001F7837"/>
    <w:rsid w:val="001F78C0"/>
    <w:rsid w:val="001F7A23"/>
    <w:rsid w:val="001F7A93"/>
    <w:rsid w:val="001F7AF4"/>
    <w:rsid w:val="001F7BFF"/>
    <w:rsid w:val="001F7EB2"/>
    <w:rsid w:val="00200207"/>
    <w:rsid w:val="00200283"/>
    <w:rsid w:val="00200490"/>
    <w:rsid w:val="0020049C"/>
    <w:rsid w:val="00200525"/>
    <w:rsid w:val="0020053F"/>
    <w:rsid w:val="002007B9"/>
    <w:rsid w:val="00200C68"/>
    <w:rsid w:val="00200CAA"/>
    <w:rsid w:val="00200E45"/>
    <w:rsid w:val="00200E9F"/>
    <w:rsid w:val="00200F12"/>
    <w:rsid w:val="002011E2"/>
    <w:rsid w:val="002011F6"/>
    <w:rsid w:val="00201415"/>
    <w:rsid w:val="0020144E"/>
    <w:rsid w:val="002018D1"/>
    <w:rsid w:val="0020191C"/>
    <w:rsid w:val="00201C05"/>
    <w:rsid w:val="00201DDD"/>
    <w:rsid w:val="00201F97"/>
    <w:rsid w:val="0020216F"/>
    <w:rsid w:val="0020231A"/>
    <w:rsid w:val="00202672"/>
    <w:rsid w:val="002027DA"/>
    <w:rsid w:val="00202808"/>
    <w:rsid w:val="00202DFC"/>
    <w:rsid w:val="00202ED9"/>
    <w:rsid w:val="002031A2"/>
    <w:rsid w:val="00203668"/>
    <w:rsid w:val="0020366A"/>
    <w:rsid w:val="002039EF"/>
    <w:rsid w:val="00203D6F"/>
    <w:rsid w:val="00203F06"/>
    <w:rsid w:val="00204014"/>
    <w:rsid w:val="00204190"/>
    <w:rsid w:val="00204319"/>
    <w:rsid w:val="00204341"/>
    <w:rsid w:val="00204358"/>
    <w:rsid w:val="00204429"/>
    <w:rsid w:val="002044EF"/>
    <w:rsid w:val="0020460B"/>
    <w:rsid w:val="00204999"/>
    <w:rsid w:val="002049A7"/>
    <w:rsid w:val="00204A71"/>
    <w:rsid w:val="00204A87"/>
    <w:rsid w:val="00204AD6"/>
    <w:rsid w:val="00204D4E"/>
    <w:rsid w:val="0020507B"/>
    <w:rsid w:val="00205102"/>
    <w:rsid w:val="00205283"/>
    <w:rsid w:val="00205424"/>
    <w:rsid w:val="00205793"/>
    <w:rsid w:val="00205AE5"/>
    <w:rsid w:val="00205BDC"/>
    <w:rsid w:val="00205CCD"/>
    <w:rsid w:val="00205CDE"/>
    <w:rsid w:val="00205E5A"/>
    <w:rsid w:val="00205F21"/>
    <w:rsid w:val="00205FA2"/>
    <w:rsid w:val="0020607E"/>
    <w:rsid w:val="00206117"/>
    <w:rsid w:val="0020635A"/>
    <w:rsid w:val="002064E4"/>
    <w:rsid w:val="0020673D"/>
    <w:rsid w:val="00206B4C"/>
    <w:rsid w:val="00206DF0"/>
    <w:rsid w:val="00206E98"/>
    <w:rsid w:val="00206EBB"/>
    <w:rsid w:val="00206F27"/>
    <w:rsid w:val="00206FE1"/>
    <w:rsid w:val="0020716B"/>
    <w:rsid w:val="002072B2"/>
    <w:rsid w:val="00207303"/>
    <w:rsid w:val="0020735A"/>
    <w:rsid w:val="00207427"/>
    <w:rsid w:val="0020743D"/>
    <w:rsid w:val="00207579"/>
    <w:rsid w:val="00207B09"/>
    <w:rsid w:val="00207B24"/>
    <w:rsid w:val="00207FCB"/>
    <w:rsid w:val="002102E2"/>
    <w:rsid w:val="002103AD"/>
    <w:rsid w:val="0021040A"/>
    <w:rsid w:val="00210452"/>
    <w:rsid w:val="00210465"/>
    <w:rsid w:val="0021049B"/>
    <w:rsid w:val="002109FA"/>
    <w:rsid w:val="00210C61"/>
    <w:rsid w:val="00210C69"/>
    <w:rsid w:val="00211174"/>
    <w:rsid w:val="0021151C"/>
    <w:rsid w:val="002116C3"/>
    <w:rsid w:val="0021186B"/>
    <w:rsid w:val="00211A7D"/>
    <w:rsid w:val="00211D82"/>
    <w:rsid w:val="002122A8"/>
    <w:rsid w:val="00212391"/>
    <w:rsid w:val="002124AB"/>
    <w:rsid w:val="002124E4"/>
    <w:rsid w:val="002125DE"/>
    <w:rsid w:val="00212616"/>
    <w:rsid w:val="00212C5F"/>
    <w:rsid w:val="00212EE6"/>
    <w:rsid w:val="002135AB"/>
    <w:rsid w:val="00213688"/>
    <w:rsid w:val="002137B1"/>
    <w:rsid w:val="00213B09"/>
    <w:rsid w:val="00213B3E"/>
    <w:rsid w:val="00213C61"/>
    <w:rsid w:val="00213E62"/>
    <w:rsid w:val="00214131"/>
    <w:rsid w:val="002143E4"/>
    <w:rsid w:val="0021448F"/>
    <w:rsid w:val="00214554"/>
    <w:rsid w:val="00214644"/>
    <w:rsid w:val="00214647"/>
    <w:rsid w:val="00214670"/>
    <w:rsid w:val="00214673"/>
    <w:rsid w:val="00214FDF"/>
    <w:rsid w:val="00215055"/>
    <w:rsid w:val="0021511C"/>
    <w:rsid w:val="002152B7"/>
    <w:rsid w:val="00215482"/>
    <w:rsid w:val="002155C4"/>
    <w:rsid w:val="0021565A"/>
    <w:rsid w:val="00215872"/>
    <w:rsid w:val="00215A70"/>
    <w:rsid w:val="00215D64"/>
    <w:rsid w:val="00215E09"/>
    <w:rsid w:val="00215E9E"/>
    <w:rsid w:val="0021610B"/>
    <w:rsid w:val="002162E4"/>
    <w:rsid w:val="002164A6"/>
    <w:rsid w:val="00216528"/>
    <w:rsid w:val="00216580"/>
    <w:rsid w:val="002165A2"/>
    <w:rsid w:val="002167AE"/>
    <w:rsid w:val="00216817"/>
    <w:rsid w:val="002168AD"/>
    <w:rsid w:val="00216A1E"/>
    <w:rsid w:val="00216AE9"/>
    <w:rsid w:val="00216BBF"/>
    <w:rsid w:val="00216FE2"/>
    <w:rsid w:val="0021725D"/>
    <w:rsid w:val="002173EA"/>
    <w:rsid w:val="002179B9"/>
    <w:rsid w:val="00217AF7"/>
    <w:rsid w:val="00217BB7"/>
    <w:rsid w:val="00217CCB"/>
    <w:rsid w:val="00220098"/>
    <w:rsid w:val="002200D5"/>
    <w:rsid w:val="002203F0"/>
    <w:rsid w:val="00220423"/>
    <w:rsid w:val="0022050F"/>
    <w:rsid w:val="002206FA"/>
    <w:rsid w:val="002207FD"/>
    <w:rsid w:val="002208FB"/>
    <w:rsid w:val="00220DB7"/>
    <w:rsid w:val="00221089"/>
    <w:rsid w:val="002211C5"/>
    <w:rsid w:val="002213A0"/>
    <w:rsid w:val="0022158F"/>
    <w:rsid w:val="002216C0"/>
    <w:rsid w:val="00221A41"/>
    <w:rsid w:val="00221AB1"/>
    <w:rsid w:val="00221B1C"/>
    <w:rsid w:val="00221C21"/>
    <w:rsid w:val="00221D1C"/>
    <w:rsid w:val="00221F51"/>
    <w:rsid w:val="0022204A"/>
    <w:rsid w:val="00222520"/>
    <w:rsid w:val="00222574"/>
    <w:rsid w:val="002225CA"/>
    <w:rsid w:val="00222852"/>
    <w:rsid w:val="002228E8"/>
    <w:rsid w:val="00222D48"/>
    <w:rsid w:val="00222D68"/>
    <w:rsid w:val="00222EAB"/>
    <w:rsid w:val="00223239"/>
    <w:rsid w:val="0022353B"/>
    <w:rsid w:val="00223683"/>
    <w:rsid w:val="00223757"/>
    <w:rsid w:val="00223983"/>
    <w:rsid w:val="00223CCE"/>
    <w:rsid w:val="00223D26"/>
    <w:rsid w:val="00223D48"/>
    <w:rsid w:val="00224005"/>
    <w:rsid w:val="0022406D"/>
    <w:rsid w:val="00224075"/>
    <w:rsid w:val="002242B5"/>
    <w:rsid w:val="002244F5"/>
    <w:rsid w:val="00224544"/>
    <w:rsid w:val="002245BB"/>
    <w:rsid w:val="002246F8"/>
    <w:rsid w:val="002247E2"/>
    <w:rsid w:val="002249C4"/>
    <w:rsid w:val="00224B3F"/>
    <w:rsid w:val="00224B94"/>
    <w:rsid w:val="00224DF7"/>
    <w:rsid w:val="00224EE1"/>
    <w:rsid w:val="00224FB6"/>
    <w:rsid w:val="00224FBE"/>
    <w:rsid w:val="0022511A"/>
    <w:rsid w:val="002251B8"/>
    <w:rsid w:val="002252AA"/>
    <w:rsid w:val="00225651"/>
    <w:rsid w:val="0022578D"/>
    <w:rsid w:val="00225912"/>
    <w:rsid w:val="0022594A"/>
    <w:rsid w:val="00225C51"/>
    <w:rsid w:val="00225ED1"/>
    <w:rsid w:val="00226034"/>
    <w:rsid w:val="002260A5"/>
    <w:rsid w:val="00226645"/>
    <w:rsid w:val="0022695F"/>
    <w:rsid w:val="00226963"/>
    <w:rsid w:val="00227019"/>
    <w:rsid w:val="002271A3"/>
    <w:rsid w:val="00227498"/>
    <w:rsid w:val="002275DF"/>
    <w:rsid w:val="0022771C"/>
    <w:rsid w:val="00227A7E"/>
    <w:rsid w:val="00227E91"/>
    <w:rsid w:val="00227EFC"/>
    <w:rsid w:val="00227F0F"/>
    <w:rsid w:val="00230004"/>
    <w:rsid w:val="0023000E"/>
    <w:rsid w:val="00230130"/>
    <w:rsid w:val="0023016E"/>
    <w:rsid w:val="00230596"/>
    <w:rsid w:val="002305E8"/>
    <w:rsid w:val="00230B21"/>
    <w:rsid w:val="00230E97"/>
    <w:rsid w:val="00230F16"/>
    <w:rsid w:val="002310BB"/>
    <w:rsid w:val="00231109"/>
    <w:rsid w:val="0023116C"/>
    <w:rsid w:val="00231464"/>
    <w:rsid w:val="002314BB"/>
    <w:rsid w:val="002316D2"/>
    <w:rsid w:val="00231B9F"/>
    <w:rsid w:val="0023227A"/>
    <w:rsid w:val="0023248C"/>
    <w:rsid w:val="002324CB"/>
    <w:rsid w:val="002327A7"/>
    <w:rsid w:val="0023286B"/>
    <w:rsid w:val="002328B7"/>
    <w:rsid w:val="00232AD9"/>
    <w:rsid w:val="00232C13"/>
    <w:rsid w:val="00232CAC"/>
    <w:rsid w:val="00232F1A"/>
    <w:rsid w:val="00232F4C"/>
    <w:rsid w:val="00232FDA"/>
    <w:rsid w:val="00233277"/>
    <w:rsid w:val="00233634"/>
    <w:rsid w:val="002336E5"/>
    <w:rsid w:val="002339E3"/>
    <w:rsid w:val="00233B11"/>
    <w:rsid w:val="00233B21"/>
    <w:rsid w:val="00233E43"/>
    <w:rsid w:val="00234009"/>
    <w:rsid w:val="0023419E"/>
    <w:rsid w:val="00234289"/>
    <w:rsid w:val="0023469A"/>
    <w:rsid w:val="00234704"/>
    <w:rsid w:val="002349EF"/>
    <w:rsid w:val="00234CE7"/>
    <w:rsid w:val="00234D50"/>
    <w:rsid w:val="00235099"/>
    <w:rsid w:val="002350AC"/>
    <w:rsid w:val="0023544D"/>
    <w:rsid w:val="00235510"/>
    <w:rsid w:val="002357C4"/>
    <w:rsid w:val="0023584B"/>
    <w:rsid w:val="002359DC"/>
    <w:rsid w:val="00235B6B"/>
    <w:rsid w:val="00235C02"/>
    <w:rsid w:val="00235C49"/>
    <w:rsid w:val="00236148"/>
    <w:rsid w:val="0023623A"/>
    <w:rsid w:val="00236317"/>
    <w:rsid w:val="00236409"/>
    <w:rsid w:val="0023659C"/>
    <w:rsid w:val="00236BB2"/>
    <w:rsid w:val="00236BDF"/>
    <w:rsid w:val="00236CC0"/>
    <w:rsid w:val="00237164"/>
    <w:rsid w:val="00237208"/>
    <w:rsid w:val="0023730E"/>
    <w:rsid w:val="0023737F"/>
    <w:rsid w:val="00237402"/>
    <w:rsid w:val="00237433"/>
    <w:rsid w:val="00237494"/>
    <w:rsid w:val="0023749B"/>
    <w:rsid w:val="002374E3"/>
    <w:rsid w:val="00237925"/>
    <w:rsid w:val="002379A2"/>
    <w:rsid w:val="00237D1E"/>
    <w:rsid w:val="00237D94"/>
    <w:rsid w:val="00237F1B"/>
    <w:rsid w:val="002403A3"/>
    <w:rsid w:val="0024072C"/>
    <w:rsid w:val="00240A38"/>
    <w:rsid w:val="00240AF8"/>
    <w:rsid w:val="00240C54"/>
    <w:rsid w:val="00241000"/>
    <w:rsid w:val="002410ED"/>
    <w:rsid w:val="00241220"/>
    <w:rsid w:val="002413C9"/>
    <w:rsid w:val="00241432"/>
    <w:rsid w:val="002414D8"/>
    <w:rsid w:val="00241577"/>
    <w:rsid w:val="0024196D"/>
    <w:rsid w:val="00241DD2"/>
    <w:rsid w:val="00241F1B"/>
    <w:rsid w:val="0024225B"/>
    <w:rsid w:val="0024226C"/>
    <w:rsid w:val="002422BD"/>
    <w:rsid w:val="00242322"/>
    <w:rsid w:val="0024266D"/>
    <w:rsid w:val="002427B0"/>
    <w:rsid w:val="002428A6"/>
    <w:rsid w:val="00242B32"/>
    <w:rsid w:val="00242D01"/>
    <w:rsid w:val="00242E79"/>
    <w:rsid w:val="0024310D"/>
    <w:rsid w:val="00243134"/>
    <w:rsid w:val="002433F7"/>
    <w:rsid w:val="00243755"/>
    <w:rsid w:val="0024388B"/>
    <w:rsid w:val="002439A1"/>
    <w:rsid w:val="00243A0B"/>
    <w:rsid w:val="00243E13"/>
    <w:rsid w:val="00243EBD"/>
    <w:rsid w:val="00243F8A"/>
    <w:rsid w:val="002440C2"/>
    <w:rsid w:val="002442DD"/>
    <w:rsid w:val="00244322"/>
    <w:rsid w:val="00244571"/>
    <w:rsid w:val="002446FA"/>
    <w:rsid w:val="0024472C"/>
    <w:rsid w:val="00244AED"/>
    <w:rsid w:val="00244C47"/>
    <w:rsid w:val="00244CB7"/>
    <w:rsid w:val="00244E4B"/>
    <w:rsid w:val="00244F8E"/>
    <w:rsid w:val="0024528A"/>
    <w:rsid w:val="0024530E"/>
    <w:rsid w:val="0024542C"/>
    <w:rsid w:val="00245579"/>
    <w:rsid w:val="00245677"/>
    <w:rsid w:val="00245962"/>
    <w:rsid w:val="00245971"/>
    <w:rsid w:val="00245BB0"/>
    <w:rsid w:val="00245C59"/>
    <w:rsid w:val="00245CB7"/>
    <w:rsid w:val="00245FBC"/>
    <w:rsid w:val="002460ED"/>
    <w:rsid w:val="0024679D"/>
    <w:rsid w:val="002467DE"/>
    <w:rsid w:val="00246897"/>
    <w:rsid w:val="0024697E"/>
    <w:rsid w:val="002469AB"/>
    <w:rsid w:val="00246A26"/>
    <w:rsid w:val="00246AEE"/>
    <w:rsid w:val="00246D02"/>
    <w:rsid w:val="00246FC7"/>
    <w:rsid w:val="0024709F"/>
    <w:rsid w:val="00247258"/>
    <w:rsid w:val="0024738E"/>
    <w:rsid w:val="002476A5"/>
    <w:rsid w:val="002476D6"/>
    <w:rsid w:val="002477E1"/>
    <w:rsid w:val="00247887"/>
    <w:rsid w:val="00247A24"/>
    <w:rsid w:val="00247AFE"/>
    <w:rsid w:val="00247CE3"/>
    <w:rsid w:val="00247E18"/>
    <w:rsid w:val="00250160"/>
    <w:rsid w:val="002501DC"/>
    <w:rsid w:val="00250214"/>
    <w:rsid w:val="00250289"/>
    <w:rsid w:val="002503F4"/>
    <w:rsid w:val="00250594"/>
    <w:rsid w:val="002505AC"/>
    <w:rsid w:val="00250728"/>
    <w:rsid w:val="00250C6F"/>
    <w:rsid w:val="00250CD1"/>
    <w:rsid w:val="00250E7A"/>
    <w:rsid w:val="002512CD"/>
    <w:rsid w:val="002513D7"/>
    <w:rsid w:val="0025154A"/>
    <w:rsid w:val="00251580"/>
    <w:rsid w:val="0025163C"/>
    <w:rsid w:val="002516AF"/>
    <w:rsid w:val="00251B9B"/>
    <w:rsid w:val="00251CB4"/>
    <w:rsid w:val="00251E1D"/>
    <w:rsid w:val="00252022"/>
    <w:rsid w:val="00252467"/>
    <w:rsid w:val="0025268F"/>
    <w:rsid w:val="002526C7"/>
    <w:rsid w:val="00252CBD"/>
    <w:rsid w:val="00252D05"/>
    <w:rsid w:val="00252EF8"/>
    <w:rsid w:val="00252F3C"/>
    <w:rsid w:val="00252FFD"/>
    <w:rsid w:val="00253080"/>
    <w:rsid w:val="002530EF"/>
    <w:rsid w:val="002533D7"/>
    <w:rsid w:val="002536C0"/>
    <w:rsid w:val="0025371F"/>
    <w:rsid w:val="00253B01"/>
    <w:rsid w:val="00253C71"/>
    <w:rsid w:val="00253D8E"/>
    <w:rsid w:val="00253F2E"/>
    <w:rsid w:val="002540A6"/>
    <w:rsid w:val="002542CE"/>
    <w:rsid w:val="002543F3"/>
    <w:rsid w:val="002544F7"/>
    <w:rsid w:val="002545F7"/>
    <w:rsid w:val="00254709"/>
    <w:rsid w:val="00254917"/>
    <w:rsid w:val="002551B6"/>
    <w:rsid w:val="0025548E"/>
    <w:rsid w:val="00255509"/>
    <w:rsid w:val="0025555A"/>
    <w:rsid w:val="0025571F"/>
    <w:rsid w:val="0025585F"/>
    <w:rsid w:val="002558C8"/>
    <w:rsid w:val="002558FA"/>
    <w:rsid w:val="00255983"/>
    <w:rsid w:val="00255AE8"/>
    <w:rsid w:val="00255B10"/>
    <w:rsid w:val="002561CA"/>
    <w:rsid w:val="00256266"/>
    <w:rsid w:val="002564E4"/>
    <w:rsid w:val="002565CE"/>
    <w:rsid w:val="00256719"/>
    <w:rsid w:val="0025678E"/>
    <w:rsid w:val="0025687E"/>
    <w:rsid w:val="00256AC7"/>
    <w:rsid w:val="00256C56"/>
    <w:rsid w:val="00256C72"/>
    <w:rsid w:val="00256DA9"/>
    <w:rsid w:val="002572B9"/>
    <w:rsid w:val="0025768F"/>
    <w:rsid w:val="00257868"/>
    <w:rsid w:val="0025795D"/>
    <w:rsid w:val="00257FE5"/>
    <w:rsid w:val="0026011C"/>
    <w:rsid w:val="00260187"/>
    <w:rsid w:val="00260471"/>
    <w:rsid w:val="002607DD"/>
    <w:rsid w:val="002609F8"/>
    <w:rsid w:val="00260DA4"/>
    <w:rsid w:val="00260F66"/>
    <w:rsid w:val="002611AD"/>
    <w:rsid w:val="002611F9"/>
    <w:rsid w:val="002613D1"/>
    <w:rsid w:val="00261482"/>
    <w:rsid w:val="002616EA"/>
    <w:rsid w:val="00261830"/>
    <w:rsid w:val="00261838"/>
    <w:rsid w:val="00261847"/>
    <w:rsid w:val="0026196E"/>
    <w:rsid w:val="00261A4D"/>
    <w:rsid w:val="00261B34"/>
    <w:rsid w:val="00261BCD"/>
    <w:rsid w:val="00261DD5"/>
    <w:rsid w:val="00261E03"/>
    <w:rsid w:val="00261F79"/>
    <w:rsid w:val="00261FC1"/>
    <w:rsid w:val="0026207D"/>
    <w:rsid w:val="0026249C"/>
    <w:rsid w:val="0026258B"/>
    <w:rsid w:val="002626B6"/>
    <w:rsid w:val="00262723"/>
    <w:rsid w:val="00262967"/>
    <w:rsid w:val="00262B9D"/>
    <w:rsid w:val="00262CE3"/>
    <w:rsid w:val="00262D14"/>
    <w:rsid w:val="00262FD9"/>
    <w:rsid w:val="0026327D"/>
    <w:rsid w:val="00263318"/>
    <w:rsid w:val="00263434"/>
    <w:rsid w:val="00263446"/>
    <w:rsid w:val="002634DD"/>
    <w:rsid w:val="002637B2"/>
    <w:rsid w:val="00263820"/>
    <w:rsid w:val="002638C1"/>
    <w:rsid w:val="00263985"/>
    <w:rsid w:val="00263A99"/>
    <w:rsid w:val="00263C48"/>
    <w:rsid w:val="00264063"/>
    <w:rsid w:val="00264148"/>
    <w:rsid w:val="00264381"/>
    <w:rsid w:val="002643A7"/>
    <w:rsid w:val="002645C7"/>
    <w:rsid w:val="00264801"/>
    <w:rsid w:val="002648FA"/>
    <w:rsid w:val="00264A83"/>
    <w:rsid w:val="00264CD4"/>
    <w:rsid w:val="00264E51"/>
    <w:rsid w:val="00264E6A"/>
    <w:rsid w:val="002651D7"/>
    <w:rsid w:val="002653A1"/>
    <w:rsid w:val="00265842"/>
    <w:rsid w:val="00265853"/>
    <w:rsid w:val="002659C3"/>
    <w:rsid w:val="00265E5D"/>
    <w:rsid w:val="00266165"/>
    <w:rsid w:val="002661BB"/>
    <w:rsid w:val="002662C2"/>
    <w:rsid w:val="002663A2"/>
    <w:rsid w:val="0026679E"/>
    <w:rsid w:val="00266819"/>
    <w:rsid w:val="00266854"/>
    <w:rsid w:val="002668D3"/>
    <w:rsid w:val="00266951"/>
    <w:rsid w:val="002669CB"/>
    <w:rsid w:val="00266A49"/>
    <w:rsid w:val="00266F9C"/>
    <w:rsid w:val="00267244"/>
    <w:rsid w:val="00267464"/>
    <w:rsid w:val="002674F8"/>
    <w:rsid w:val="00267581"/>
    <w:rsid w:val="002677C0"/>
    <w:rsid w:val="002679E2"/>
    <w:rsid w:val="00267C8F"/>
    <w:rsid w:val="00267D75"/>
    <w:rsid w:val="002700C3"/>
    <w:rsid w:val="00270214"/>
    <w:rsid w:val="002702DA"/>
    <w:rsid w:val="00270AA6"/>
    <w:rsid w:val="00270BA6"/>
    <w:rsid w:val="00270C9E"/>
    <w:rsid w:val="00270DC4"/>
    <w:rsid w:val="00270F1F"/>
    <w:rsid w:val="00271067"/>
    <w:rsid w:val="002710EB"/>
    <w:rsid w:val="002711DD"/>
    <w:rsid w:val="00271318"/>
    <w:rsid w:val="00271356"/>
    <w:rsid w:val="002713DC"/>
    <w:rsid w:val="0027153F"/>
    <w:rsid w:val="00271A9A"/>
    <w:rsid w:val="00271BAF"/>
    <w:rsid w:val="00271CAB"/>
    <w:rsid w:val="00271CDF"/>
    <w:rsid w:val="00271DE2"/>
    <w:rsid w:val="00271F48"/>
    <w:rsid w:val="00272068"/>
    <w:rsid w:val="00272276"/>
    <w:rsid w:val="0027257F"/>
    <w:rsid w:val="0027263D"/>
    <w:rsid w:val="002727C2"/>
    <w:rsid w:val="002731B8"/>
    <w:rsid w:val="002731EA"/>
    <w:rsid w:val="00273484"/>
    <w:rsid w:val="00273559"/>
    <w:rsid w:val="002735CA"/>
    <w:rsid w:val="002735D1"/>
    <w:rsid w:val="00273753"/>
    <w:rsid w:val="00273972"/>
    <w:rsid w:val="0027398E"/>
    <w:rsid w:val="002739AC"/>
    <w:rsid w:val="00273D95"/>
    <w:rsid w:val="00273E98"/>
    <w:rsid w:val="002741A1"/>
    <w:rsid w:val="002742E9"/>
    <w:rsid w:val="00274452"/>
    <w:rsid w:val="002749E0"/>
    <w:rsid w:val="00275593"/>
    <w:rsid w:val="00275A79"/>
    <w:rsid w:val="00275B81"/>
    <w:rsid w:val="00275C4A"/>
    <w:rsid w:val="00275E08"/>
    <w:rsid w:val="00275F99"/>
    <w:rsid w:val="00275FBF"/>
    <w:rsid w:val="002760D5"/>
    <w:rsid w:val="002761DF"/>
    <w:rsid w:val="0027631A"/>
    <w:rsid w:val="00276447"/>
    <w:rsid w:val="0027651F"/>
    <w:rsid w:val="002765C3"/>
    <w:rsid w:val="002765C7"/>
    <w:rsid w:val="0027693D"/>
    <w:rsid w:val="0027697C"/>
    <w:rsid w:val="00276982"/>
    <w:rsid w:val="00276AD3"/>
    <w:rsid w:val="00276ADE"/>
    <w:rsid w:val="00276FA8"/>
    <w:rsid w:val="002772C9"/>
    <w:rsid w:val="0027745D"/>
    <w:rsid w:val="00277A31"/>
    <w:rsid w:val="00277C1F"/>
    <w:rsid w:val="00277DF4"/>
    <w:rsid w:val="0028012A"/>
    <w:rsid w:val="002804BB"/>
    <w:rsid w:val="002804FA"/>
    <w:rsid w:val="0028053E"/>
    <w:rsid w:val="002805C0"/>
    <w:rsid w:val="00280649"/>
    <w:rsid w:val="0028067F"/>
    <w:rsid w:val="00280A64"/>
    <w:rsid w:val="00280B95"/>
    <w:rsid w:val="00280BA5"/>
    <w:rsid w:val="00280FF1"/>
    <w:rsid w:val="00281133"/>
    <w:rsid w:val="002811C2"/>
    <w:rsid w:val="00281236"/>
    <w:rsid w:val="0028145E"/>
    <w:rsid w:val="00281653"/>
    <w:rsid w:val="00281663"/>
    <w:rsid w:val="002817FE"/>
    <w:rsid w:val="002819AA"/>
    <w:rsid w:val="002819DE"/>
    <w:rsid w:val="00281A6C"/>
    <w:rsid w:val="00282014"/>
    <w:rsid w:val="002820C8"/>
    <w:rsid w:val="002820CF"/>
    <w:rsid w:val="00282125"/>
    <w:rsid w:val="00282201"/>
    <w:rsid w:val="002823A7"/>
    <w:rsid w:val="0028246E"/>
    <w:rsid w:val="00282631"/>
    <w:rsid w:val="00282A6C"/>
    <w:rsid w:val="00282CF8"/>
    <w:rsid w:val="00282DC4"/>
    <w:rsid w:val="0028378E"/>
    <w:rsid w:val="002838E1"/>
    <w:rsid w:val="00283C91"/>
    <w:rsid w:val="00283E53"/>
    <w:rsid w:val="00283F4A"/>
    <w:rsid w:val="00284067"/>
    <w:rsid w:val="002841BB"/>
    <w:rsid w:val="00284295"/>
    <w:rsid w:val="002845ED"/>
    <w:rsid w:val="00284813"/>
    <w:rsid w:val="002849E5"/>
    <w:rsid w:val="00284A37"/>
    <w:rsid w:val="00284AE5"/>
    <w:rsid w:val="00284EA0"/>
    <w:rsid w:val="002855D3"/>
    <w:rsid w:val="0028574F"/>
    <w:rsid w:val="00285876"/>
    <w:rsid w:val="00286024"/>
    <w:rsid w:val="00286596"/>
    <w:rsid w:val="0028678E"/>
    <w:rsid w:val="00286BC7"/>
    <w:rsid w:val="00286BC9"/>
    <w:rsid w:val="00286C03"/>
    <w:rsid w:val="00286CB2"/>
    <w:rsid w:val="00286DE2"/>
    <w:rsid w:val="00286E41"/>
    <w:rsid w:val="00286E8D"/>
    <w:rsid w:val="00286F4F"/>
    <w:rsid w:val="0028700A"/>
    <w:rsid w:val="002871DF"/>
    <w:rsid w:val="00287697"/>
    <w:rsid w:val="0028790B"/>
    <w:rsid w:val="00287A0E"/>
    <w:rsid w:val="00287B29"/>
    <w:rsid w:val="00287BD2"/>
    <w:rsid w:val="00287EB6"/>
    <w:rsid w:val="002901C0"/>
    <w:rsid w:val="00290203"/>
    <w:rsid w:val="00290678"/>
    <w:rsid w:val="002908C7"/>
    <w:rsid w:val="00290998"/>
    <w:rsid w:val="00290B62"/>
    <w:rsid w:val="00290DBA"/>
    <w:rsid w:val="00290DED"/>
    <w:rsid w:val="00290E2F"/>
    <w:rsid w:val="00290E91"/>
    <w:rsid w:val="00290EEB"/>
    <w:rsid w:val="0029140E"/>
    <w:rsid w:val="00291793"/>
    <w:rsid w:val="002919FF"/>
    <w:rsid w:val="00291A80"/>
    <w:rsid w:val="00291B17"/>
    <w:rsid w:val="00291D37"/>
    <w:rsid w:val="00292089"/>
    <w:rsid w:val="002920CB"/>
    <w:rsid w:val="002921E3"/>
    <w:rsid w:val="002924CA"/>
    <w:rsid w:val="002924F9"/>
    <w:rsid w:val="002926C3"/>
    <w:rsid w:val="002929DC"/>
    <w:rsid w:val="00292A0E"/>
    <w:rsid w:val="00292BF2"/>
    <w:rsid w:val="00292EB9"/>
    <w:rsid w:val="00292F7E"/>
    <w:rsid w:val="00292F81"/>
    <w:rsid w:val="00293534"/>
    <w:rsid w:val="00293576"/>
    <w:rsid w:val="00293736"/>
    <w:rsid w:val="002939E1"/>
    <w:rsid w:val="00293EC6"/>
    <w:rsid w:val="0029402F"/>
    <w:rsid w:val="0029406D"/>
    <w:rsid w:val="002940CE"/>
    <w:rsid w:val="0029422F"/>
    <w:rsid w:val="00294480"/>
    <w:rsid w:val="00294AC8"/>
    <w:rsid w:val="00294BB1"/>
    <w:rsid w:val="00294C00"/>
    <w:rsid w:val="00294D5B"/>
    <w:rsid w:val="00294EE3"/>
    <w:rsid w:val="00294F1F"/>
    <w:rsid w:val="0029515B"/>
    <w:rsid w:val="00295170"/>
    <w:rsid w:val="00295198"/>
    <w:rsid w:val="0029522D"/>
    <w:rsid w:val="002954E8"/>
    <w:rsid w:val="00295A02"/>
    <w:rsid w:val="00295A86"/>
    <w:rsid w:val="00295CBB"/>
    <w:rsid w:val="00295DA1"/>
    <w:rsid w:val="00295E40"/>
    <w:rsid w:val="0029601A"/>
    <w:rsid w:val="002962F0"/>
    <w:rsid w:val="002964A1"/>
    <w:rsid w:val="002967FC"/>
    <w:rsid w:val="00296B25"/>
    <w:rsid w:val="00296BCD"/>
    <w:rsid w:val="00296ED9"/>
    <w:rsid w:val="002970DD"/>
    <w:rsid w:val="00297167"/>
    <w:rsid w:val="002971A6"/>
    <w:rsid w:val="00297846"/>
    <w:rsid w:val="00297AB0"/>
    <w:rsid w:val="00297B64"/>
    <w:rsid w:val="00297C78"/>
    <w:rsid w:val="00297FCA"/>
    <w:rsid w:val="002A001B"/>
    <w:rsid w:val="002A00C4"/>
    <w:rsid w:val="002A02DD"/>
    <w:rsid w:val="002A04C8"/>
    <w:rsid w:val="002A0739"/>
    <w:rsid w:val="002A0DA1"/>
    <w:rsid w:val="002A0E3E"/>
    <w:rsid w:val="002A1253"/>
    <w:rsid w:val="002A142E"/>
    <w:rsid w:val="002A16BD"/>
    <w:rsid w:val="002A1BD2"/>
    <w:rsid w:val="002A1C8F"/>
    <w:rsid w:val="002A1CF2"/>
    <w:rsid w:val="002A1D73"/>
    <w:rsid w:val="002A1DEF"/>
    <w:rsid w:val="002A1E14"/>
    <w:rsid w:val="002A2062"/>
    <w:rsid w:val="002A21A8"/>
    <w:rsid w:val="002A2309"/>
    <w:rsid w:val="002A2408"/>
    <w:rsid w:val="002A250B"/>
    <w:rsid w:val="002A26B4"/>
    <w:rsid w:val="002A26B7"/>
    <w:rsid w:val="002A2CAE"/>
    <w:rsid w:val="002A2EA4"/>
    <w:rsid w:val="002A2FFB"/>
    <w:rsid w:val="002A3051"/>
    <w:rsid w:val="002A3231"/>
    <w:rsid w:val="002A3514"/>
    <w:rsid w:val="002A3518"/>
    <w:rsid w:val="002A392B"/>
    <w:rsid w:val="002A3E18"/>
    <w:rsid w:val="002A3F40"/>
    <w:rsid w:val="002A4013"/>
    <w:rsid w:val="002A4057"/>
    <w:rsid w:val="002A4082"/>
    <w:rsid w:val="002A421C"/>
    <w:rsid w:val="002A4319"/>
    <w:rsid w:val="002A442E"/>
    <w:rsid w:val="002A4574"/>
    <w:rsid w:val="002A47F3"/>
    <w:rsid w:val="002A4907"/>
    <w:rsid w:val="002A4920"/>
    <w:rsid w:val="002A49CF"/>
    <w:rsid w:val="002A4A74"/>
    <w:rsid w:val="002A4AEF"/>
    <w:rsid w:val="002A4B4F"/>
    <w:rsid w:val="002A4E61"/>
    <w:rsid w:val="002A4EEC"/>
    <w:rsid w:val="002A4F1D"/>
    <w:rsid w:val="002A5169"/>
    <w:rsid w:val="002A5362"/>
    <w:rsid w:val="002A5375"/>
    <w:rsid w:val="002A56EB"/>
    <w:rsid w:val="002A5852"/>
    <w:rsid w:val="002A5972"/>
    <w:rsid w:val="002A5A49"/>
    <w:rsid w:val="002A5CDF"/>
    <w:rsid w:val="002A5D93"/>
    <w:rsid w:val="002A61E6"/>
    <w:rsid w:val="002A65D7"/>
    <w:rsid w:val="002A6871"/>
    <w:rsid w:val="002A695C"/>
    <w:rsid w:val="002A6C2D"/>
    <w:rsid w:val="002A7002"/>
    <w:rsid w:val="002A7037"/>
    <w:rsid w:val="002A71AD"/>
    <w:rsid w:val="002A7446"/>
    <w:rsid w:val="002A781F"/>
    <w:rsid w:val="002A7B33"/>
    <w:rsid w:val="002A7C98"/>
    <w:rsid w:val="002A7D50"/>
    <w:rsid w:val="002B0005"/>
    <w:rsid w:val="002B0143"/>
    <w:rsid w:val="002B0204"/>
    <w:rsid w:val="002B0575"/>
    <w:rsid w:val="002B05D8"/>
    <w:rsid w:val="002B08B9"/>
    <w:rsid w:val="002B092C"/>
    <w:rsid w:val="002B09C2"/>
    <w:rsid w:val="002B0D3B"/>
    <w:rsid w:val="002B0DC2"/>
    <w:rsid w:val="002B0DDB"/>
    <w:rsid w:val="002B10C9"/>
    <w:rsid w:val="002B111D"/>
    <w:rsid w:val="002B16B2"/>
    <w:rsid w:val="002B16CE"/>
    <w:rsid w:val="002B1902"/>
    <w:rsid w:val="002B1A65"/>
    <w:rsid w:val="002B1AF7"/>
    <w:rsid w:val="002B1C9F"/>
    <w:rsid w:val="002B1DC1"/>
    <w:rsid w:val="002B2191"/>
    <w:rsid w:val="002B22C2"/>
    <w:rsid w:val="002B24AD"/>
    <w:rsid w:val="002B2629"/>
    <w:rsid w:val="002B26CD"/>
    <w:rsid w:val="002B275B"/>
    <w:rsid w:val="002B2E17"/>
    <w:rsid w:val="002B2E40"/>
    <w:rsid w:val="002B2F98"/>
    <w:rsid w:val="002B302F"/>
    <w:rsid w:val="002B3073"/>
    <w:rsid w:val="002B32DD"/>
    <w:rsid w:val="002B331C"/>
    <w:rsid w:val="002B376B"/>
    <w:rsid w:val="002B37AB"/>
    <w:rsid w:val="002B3903"/>
    <w:rsid w:val="002B3A7B"/>
    <w:rsid w:val="002B3B9A"/>
    <w:rsid w:val="002B3BB2"/>
    <w:rsid w:val="002B3C91"/>
    <w:rsid w:val="002B3DAC"/>
    <w:rsid w:val="002B3E23"/>
    <w:rsid w:val="002B3EA8"/>
    <w:rsid w:val="002B42EC"/>
    <w:rsid w:val="002B43C4"/>
    <w:rsid w:val="002B47FE"/>
    <w:rsid w:val="002B4934"/>
    <w:rsid w:val="002B4DD0"/>
    <w:rsid w:val="002B5424"/>
    <w:rsid w:val="002B5610"/>
    <w:rsid w:val="002B563F"/>
    <w:rsid w:val="002B56DF"/>
    <w:rsid w:val="002B5859"/>
    <w:rsid w:val="002B5A68"/>
    <w:rsid w:val="002B5A7B"/>
    <w:rsid w:val="002B5B14"/>
    <w:rsid w:val="002B5CE8"/>
    <w:rsid w:val="002B5EC4"/>
    <w:rsid w:val="002B5F06"/>
    <w:rsid w:val="002B622A"/>
    <w:rsid w:val="002B628C"/>
    <w:rsid w:val="002B64AB"/>
    <w:rsid w:val="002B6990"/>
    <w:rsid w:val="002B69F2"/>
    <w:rsid w:val="002B6AF8"/>
    <w:rsid w:val="002B6C98"/>
    <w:rsid w:val="002B70B9"/>
    <w:rsid w:val="002B79F1"/>
    <w:rsid w:val="002B7B8F"/>
    <w:rsid w:val="002B7D39"/>
    <w:rsid w:val="002B7EDB"/>
    <w:rsid w:val="002B7F06"/>
    <w:rsid w:val="002B7F16"/>
    <w:rsid w:val="002B7F2E"/>
    <w:rsid w:val="002C0345"/>
    <w:rsid w:val="002C0404"/>
    <w:rsid w:val="002C048B"/>
    <w:rsid w:val="002C0A8D"/>
    <w:rsid w:val="002C0F98"/>
    <w:rsid w:val="002C1030"/>
    <w:rsid w:val="002C1148"/>
    <w:rsid w:val="002C1261"/>
    <w:rsid w:val="002C18D3"/>
    <w:rsid w:val="002C1C18"/>
    <w:rsid w:val="002C1F04"/>
    <w:rsid w:val="002C2097"/>
    <w:rsid w:val="002C235C"/>
    <w:rsid w:val="002C2389"/>
    <w:rsid w:val="002C2410"/>
    <w:rsid w:val="002C2EEC"/>
    <w:rsid w:val="002C306B"/>
    <w:rsid w:val="002C30B3"/>
    <w:rsid w:val="002C3248"/>
    <w:rsid w:val="002C324A"/>
    <w:rsid w:val="002C3305"/>
    <w:rsid w:val="002C3441"/>
    <w:rsid w:val="002C34AB"/>
    <w:rsid w:val="002C3618"/>
    <w:rsid w:val="002C3633"/>
    <w:rsid w:val="002C36DB"/>
    <w:rsid w:val="002C385F"/>
    <w:rsid w:val="002C387C"/>
    <w:rsid w:val="002C3922"/>
    <w:rsid w:val="002C3958"/>
    <w:rsid w:val="002C3A74"/>
    <w:rsid w:val="002C3C66"/>
    <w:rsid w:val="002C3D1C"/>
    <w:rsid w:val="002C477B"/>
    <w:rsid w:val="002C4AA0"/>
    <w:rsid w:val="002C4ADD"/>
    <w:rsid w:val="002C4BAF"/>
    <w:rsid w:val="002C4C48"/>
    <w:rsid w:val="002C502B"/>
    <w:rsid w:val="002C5305"/>
    <w:rsid w:val="002C5402"/>
    <w:rsid w:val="002C54D8"/>
    <w:rsid w:val="002C57C5"/>
    <w:rsid w:val="002C5911"/>
    <w:rsid w:val="002C597C"/>
    <w:rsid w:val="002C5A37"/>
    <w:rsid w:val="002C5C70"/>
    <w:rsid w:val="002C5CB2"/>
    <w:rsid w:val="002C5F63"/>
    <w:rsid w:val="002C6208"/>
    <w:rsid w:val="002C62A6"/>
    <w:rsid w:val="002C642A"/>
    <w:rsid w:val="002C689D"/>
    <w:rsid w:val="002C699B"/>
    <w:rsid w:val="002C6A95"/>
    <w:rsid w:val="002C6D7C"/>
    <w:rsid w:val="002C7198"/>
    <w:rsid w:val="002C73BE"/>
    <w:rsid w:val="002C751A"/>
    <w:rsid w:val="002C76B9"/>
    <w:rsid w:val="002C78FE"/>
    <w:rsid w:val="002C7AB2"/>
    <w:rsid w:val="002C7C19"/>
    <w:rsid w:val="002C7D5D"/>
    <w:rsid w:val="002D0310"/>
    <w:rsid w:val="002D0819"/>
    <w:rsid w:val="002D0977"/>
    <w:rsid w:val="002D0AAE"/>
    <w:rsid w:val="002D0B25"/>
    <w:rsid w:val="002D0BDA"/>
    <w:rsid w:val="002D0C3C"/>
    <w:rsid w:val="002D0CE3"/>
    <w:rsid w:val="002D0E72"/>
    <w:rsid w:val="002D0FE5"/>
    <w:rsid w:val="002D10AD"/>
    <w:rsid w:val="002D1202"/>
    <w:rsid w:val="002D13C3"/>
    <w:rsid w:val="002D1540"/>
    <w:rsid w:val="002D1609"/>
    <w:rsid w:val="002D171E"/>
    <w:rsid w:val="002D17B6"/>
    <w:rsid w:val="002D1813"/>
    <w:rsid w:val="002D1906"/>
    <w:rsid w:val="002D1937"/>
    <w:rsid w:val="002D1A58"/>
    <w:rsid w:val="002D209B"/>
    <w:rsid w:val="002D2189"/>
    <w:rsid w:val="002D21B0"/>
    <w:rsid w:val="002D2252"/>
    <w:rsid w:val="002D228A"/>
    <w:rsid w:val="002D2337"/>
    <w:rsid w:val="002D23C5"/>
    <w:rsid w:val="002D2470"/>
    <w:rsid w:val="002D25CC"/>
    <w:rsid w:val="002D285C"/>
    <w:rsid w:val="002D2A5C"/>
    <w:rsid w:val="002D2AD3"/>
    <w:rsid w:val="002D2C89"/>
    <w:rsid w:val="002D2D8D"/>
    <w:rsid w:val="002D2DAE"/>
    <w:rsid w:val="002D2DB2"/>
    <w:rsid w:val="002D3356"/>
    <w:rsid w:val="002D35B2"/>
    <w:rsid w:val="002D392E"/>
    <w:rsid w:val="002D3D2C"/>
    <w:rsid w:val="002D4155"/>
    <w:rsid w:val="002D43E6"/>
    <w:rsid w:val="002D440B"/>
    <w:rsid w:val="002D46D5"/>
    <w:rsid w:val="002D4AB6"/>
    <w:rsid w:val="002D4E2F"/>
    <w:rsid w:val="002D4F4D"/>
    <w:rsid w:val="002D5094"/>
    <w:rsid w:val="002D518C"/>
    <w:rsid w:val="002D54CD"/>
    <w:rsid w:val="002D563B"/>
    <w:rsid w:val="002D58D5"/>
    <w:rsid w:val="002D5BF6"/>
    <w:rsid w:val="002D5CF9"/>
    <w:rsid w:val="002D5DEB"/>
    <w:rsid w:val="002D5EE9"/>
    <w:rsid w:val="002D5F1C"/>
    <w:rsid w:val="002D6018"/>
    <w:rsid w:val="002D6096"/>
    <w:rsid w:val="002D64BC"/>
    <w:rsid w:val="002D6587"/>
    <w:rsid w:val="002D6617"/>
    <w:rsid w:val="002D6673"/>
    <w:rsid w:val="002D667F"/>
    <w:rsid w:val="002D680C"/>
    <w:rsid w:val="002D69B0"/>
    <w:rsid w:val="002D6E3A"/>
    <w:rsid w:val="002D6FC6"/>
    <w:rsid w:val="002D7200"/>
    <w:rsid w:val="002D7251"/>
    <w:rsid w:val="002D73E3"/>
    <w:rsid w:val="002D793C"/>
    <w:rsid w:val="002D7BD2"/>
    <w:rsid w:val="002D7C40"/>
    <w:rsid w:val="002D7C9C"/>
    <w:rsid w:val="002D7CDA"/>
    <w:rsid w:val="002D7FA6"/>
    <w:rsid w:val="002E018B"/>
    <w:rsid w:val="002E0B78"/>
    <w:rsid w:val="002E1268"/>
    <w:rsid w:val="002E132D"/>
    <w:rsid w:val="002E1385"/>
    <w:rsid w:val="002E1632"/>
    <w:rsid w:val="002E16BA"/>
    <w:rsid w:val="002E16D1"/>
    <w:rsid w:val="002E1A69"/>
    <w:rsid w:val="002E1C85"/>
    <w:rsid w:val="002E1F38"/>
    <w:rsid w:val="002E263F"/>
    <w:rsid w:val="002E2720"/>
    <w:rsid w:val="002E2861"/>
    <w:rsid w:val="002E2B63"/>
    <w:rsid w:val="002E2C73"/>
    <w:rsid w:val="002E2E83"/>
    <w:rsid w:val="002E2EA0"/>
    <w:rsid w:val="002E2F52"/>
    <w:rsid w:val="002E3027"/>
    <w:rsid w:val="002E30ED"/>
    <w:rsid w:val="002E3112"/>
    <w:rsid w:val="002E35C8"/>
    <w:rsid w:val="002E3747"/>
    <w:rsid w:val="002E3CA4"/>
    <w:rsid w:val="002E3D6B"/>
    <w:rsid w:val="002E47BA"/>
    <w:rsid w:val="002E48C0"/>
    <w:rsid w:val="002E49B1"/>
    <w:rsid w:val="002E4A88"/>
    <w:rsid w:val="002E4AAA"/>
    <w:rsid w:val="002E4BCD"/>
    <w:rsid w:val="002E4C17"/>
    <w:rsid w:val="002E4D57"/>
    <w:rsid w:val="002E52A1"/>
    <w:rsid w:val="002E5577"/>
    <w:rsid w:val="002E5813"/>
    <w:rsid w:val="002E5B2E"/>
    <w:rsid w:val="002E5C52"/>
    <w:rsid w:val="002E5C68"/>
    <w:rsid w:val="002E5EF9"/>
    <w:rsid w:val="002E6164"/>
    <w:rsid w:val="002E65CB"/>
    <w:rsid w:val="002E667C"/>
    <w:rsid w:val="002E66C4"/>
    <w:rsid w:val="002E6831"/>
    <w:rsid w:val="002E69D4"/>
    <w:rsid w:val="002E6AAE"/>
    <w:rsid w:val="002E6CAE"/>
    <w:rsid w:val="002E6D24"/>
    <w:rsid w:val="002E7387"/>
    <w:rsid w:val="002E754A"/>
    <w:rsid w:val="002E7D3C"/>
    <w:rsid w:val="002E7DD3"/>
    <w:rsid w:val="002E7EB6"/>
    <w:rsid w:val="002F02E7"/>
    <w:rsid w:val="002F0397"/>
    <w:rsid w:val="002F05ED"/>
    <w:rsid w:val="002F0895"/>
    <w:rsid w:val="002F0951"/>
    <w:rsid w:val="002F0B85"/>
    <w:rsid w:val="002F0C1C"/>
    <w:rsid w:val="002F0CC8"/>
    <w:rsid w:val="002F0D48"/>
    <w:rsid w:val="002F106A"/>
    <w:rsid w:val="002F12D2"/>
    <w:rsid w:val="002F173F"/>
    <w:rsid w:val="002F1CC7"/>
    <w:rsid w:val="002F1E50"/>
    <w:rsid w:val="002F202A"/>
    <w:rsid w:val="002F20B2"/>
    <w:rsid w:val="002F2360"/>
    <w:rsid w:val="002F23A6"/>
    <w:rsid w:val="002F25EA"/>
    <w:rsid w:val="002F26EE"/>
    <w:rsid w:val="002F2A0F"/>
    <w:rsid w:val="002F2D80"/>
    <w:rsid w:val="002F2D92"/>
    <w:rsid w:val="002F2F2D"/>
    <w:rsid w:val="002F3204"/>
    <w:rsid w:val="002F3292"/>
    <w:rsid w:val="002F32A8"/>
    <w:rsid w:val="002F32B0"/>
    <w:rsid w:val="002F34B6"/>
    <w:rsid w:val="002F387F"/>
    <w:rsid w:val="002F390B"/>
    <w:rsid w:val="002F3B8D"/>
    <w:rsid w:val="002F3CC5"/>
    <w:rsid w:val="002F3DF7"/>
    <w:rsid w:val="002F4031"/>
    <w:rsid w:val="002F4232"/>
    <w:rsid w:val="002F42B2"/>
    <w:rsid w:val="002F42D6"/>
    <w:rsid w:val="002F44FB"/>
    <w:rsid w:val="002F45F6"/>
    <w:rsid w:val="002F479A"/>
    <w:rsid w:val="002F4AC7"/>
    <w:rsid w:val="002F4DFD"/>
    <w:rsid w:val="002F4FD9"/>
    <w:rsid w:val="002F5099"/>
    <w:rsid w:val="002F50E7"/>
    <w:rsid w:val="002F560D"/>
    <w:rsid w:val="002F5794"/>
    <w:rsid w:val="002F5969"/>
    <w:rsid w:val="002F5B03"/>
    <w:rsid w:val="002F5DDD"/>
    <w:rsid w:val="002F5E64"/>
    <w:rsid w:val="002F5E89"/>
    <w:rsid w:val="002F5FB9"/>
    <w:rsid w:val="002F6028"/>
    <w:rsid w:val="002F60EA"/>
    <w:rsid w:val="002F65B5"/>
    <w:rsid w:val="002F675B"/>
    <w:rsid w:val="002F6BFE"/>
    <w:rsid w:val="002F6D76"/>
    <w:rsid w:val="002F6E9C"/>
    <w:rsid w:val="002F7136"/>
    <w:rsid w:val="002F73FB"/>
    <w:rsid w:val="002F75BB"/>
    <w:rsid w:val="002F770E"/>
    <w:rsid w:val="002F7820"/>
    <w:rsid w:val="002F794C"/>
    <w:rsid w:val="002F7ACF"/>
    <w:rsid w:val="002F7DC1"/>
    <w:rsid w:val="002F7F9A"/>
    <w:rsid w:val="002F7FB4"/>
    <w:rsid w:val="003000BE"/>
    <w:rsid w:val="00300280"/>
    <w:rsid w:val="003002F9"/>
    <w:rsid w:val="0030045A"/>
    <w:rsid w:val="00300724"/>
    <w:rsid w:val="00300C07"/>
    <w:rsid w:val="0030142D"/>
    <w:rsid w:val="0030151B"/>
    <w:rsid w:val="00301568"/>
    <w:rsid w:val="00301842"/>
    <w:rsid w:val="0030185B"/>
    <w:rsid w:val="0030194E"/>
    <w:rsid w:val="00301987"/>
    <w:rsid w:val="00301A71"/>
    <w:rsid w:val="00301F60"/>
    <w:rsid w:val="00301FFE"/>
    <w:rsid w:val="0030205F"/>
    <w:rsid w:val="00302399"/>
    <w:rsid w:val="003026FE"/>
    <w:rsid w:val="003027FE"/>
    <w:rsid w:val="00302826"/>
    <w:rsid w:val="00302863"/>
    <w:rsid w:val="003028B1"/>
    <w:rsid w:val="00302AA9"/>
    <w:rsid w:val="00302D1C"/>
    <w:rsid w:val="00302DEA"/>
    <w:rsid w:val="00303086"/>
    <w:rsid w:val="003031CC"/>
    <w:rsid w:val="00303375"/>
    <w:rsid w:val="003034C5"/>
    <w:rsid w:val="00303636"/>
    <w:rsid w:val="00303754"/>
    <w:rsid w:val="003037A2"/>
    <w:rsid w:val="003039E9"/>
    <w:rsid w:val="00303B08"/>
    <w:rsid w:val="00303B78"/>
    <w:rsid w:val="003041D9"/>
    <w:rsid w:val="00304203"/>
    <w:rsid w:val="003042C4"/>
    <w:rsid w:val="00304888"/>
    <w:rsid w:val="00304CE4"/>
    <w:rsid w:val="00304E88"/>
    <w:rsid w:val="00304F0C"/>
    <w:rsid w:val="00305090"/>
    <w:rsid w:val="00305164"/>
    <w:rsid w:val="0030519A"/>
    <w:rsid w:val="00305B04"/>
    <w:rsid w:val="00305FF1"/>
    <w:rsid w:val="00306022"/>
    <w:rsid w:val="0030635D"/>
    <w:rsid w:val="0030638B"/>
    <w:rsid w:val="003064C2"/>
    <w:rsid w:val="003067D4"/>
    <w:rsid w:val="0030685A"/>
    <w:rsid w:val="003069E3"/>
    <w:rsid w:val="00306A68"/>
    <w:rsid w:val="00306B71"/>
    <w:rsid w:val="00306E1C"/>
    <w:rsid w:val="00306F07"/>
    <w:rsid w:val="00307310"/>
    <w:rsid w:val="003073DB"/>
    <w:rsid w:val="00307451"/>
    <w:rsid w:val="003076AA"/>
    <w:rsid w:val="0030773D"/>
    <w:rsid w:val="003077B7"/>
    <w:rsid w:val="00307E54"/>
    <w:rsid w:val="00307F88"/>
    <w:rsid w:val="00310442"/>
    <w:rsid w:val="003106A2"/>
    <w:rsid w:val="00310792"/>
    <w:rsid w:val="00310927"/>
    <w:rsid w:val="003109AD"/>
    <w:rsid w:val="003109C5"/>
    <w:rsid w:val="00310B30"/>
    <w:rsid w:val="00310C34"/>
    <w:rsid w:val="00310DAB"/>
    <w:rsid w:val="00310E7C"/>
    <w:rsid w:val="00310E87"/>
    <w:rsid w:val="0031112F"/>
    <w:rsid w:val="003111D3"/>
    <w:rsid w:val="0031133A"/>
    <w:rsid w:val="00311359"/>
    <w:rsid w:val="00311572"/>
    <w:rsid w:val="00311882"/>
    <w:rsid w:val="003119DE"/>
    <w:rsid w:val="00311AB5"/>
    <w:rsid w:val="00311B47"/>
    <w:rsid w:val="00311B63"/>
    <w:rsid w:val="00311CE3"/>
    <w:rsid w:val="00311D15"/>
    <w:rsid w:val="00311E4C"/>
    <w:rsid w:val="00311EF7"/>
    <w:rsid w:val="00312014"/>
    <w:rsid w:val="003120C5"/>
    <w:rsid w:val="00312150"/>
    <w:rsid w:val="003121C8"/>
    <w:rsid w:val="003123EE"/>
    <w:rsid w:val="00312457"/>
    <w:rsid w:val="003124AB"/>
    <w:rsid w:val="0031256F"/>
    <w:rsid w:val="003125F0"/>
    <w:rsid w:val="0031269A"/>
    <w:rsid w:val="00312809"/>
    <w:rsid w:val="003129E8"/>
    <w:rsid w:val="00312AC4"/>
    <w:rsid w:val="00312B76"/>
    <w:rsid w:val="00312DDD"/>
    <w:rsid w:val="00312EAE"/>
    <w:rsid w:val="0031346A"/>
    <w:rsid w:val="003134D4"/>
    <w:rsid w:val="003135D9"/>
    <w:rsid w:val="00313600"/>
    <w:rsid w:val="00313D4A"/>
    <w:rsid w:val="0031408E"/>
    <w:rsid w:val="003140A6"/>
    <w:rsid w:val="00314197"/>
    <w:rsid w:val="00314364"/>
    <w:rsid w:val="00314449"/>
    <w:rsid w:val="003145B3"/>
    <w:rsid w:val="00314682"/>
    <w:rsid w:val="00314728"/>
    <w:rsid w:val="00314784"/>
    <w:rsid w:val="00314969"/>
    <w:rsid w:val="00314A0A"/>
    <w:rsid w:val="00314A43"/>
    <w:rsid w:val="00314B8A"/>
    <w:rsid w:val="00314D31"/>
    <w:rsid w:val="00314D37"/>
    <w:rsid w:val="00314D49"/>
    <w:rsid w:val="00314EDF"/>
    <w:rsid w:val="003150F6"/>
    <w:rsid w:val="00315150"/>
    <w:rsid w:val="0031520E"/>
    <w:rsid w:val="003153BD"/>
    <w:rsid w:val="00315469"/>
    <w:rsid w:val="003154D9"/>
    <w:rsid w:val="003154F5"/>
    <w:rsid w:val="00315723"/>
    <w:rsid w:val="00315778"/>
    <w:rsid w:val="00315869"/>
    <w:rsid w:val="003159E9"/>
    <w:rsid w:val="00315E7F"/>
    <w:rsid w:val="00315E9A"/>
    <w:rsid w:val="00315FE2"/>
    <w:rsid w:val="00316379"/>
    <w:rsid w:val="003164AD"/>
    <w:rsid w:val="00316D55"/>
    <w:rsid w:val="003170E2"/>
    <w:rsid w:val="003171BC"/>
    <w:rsid w:val="00317366"/>
    <w:rsid w:val="00317570"/>
    <w:rsid w:val="003176E1"/>
    <w:rsid w:val="003176E9"/>
    <w:rsid w:val="003177CC"/>
    <w:rsid w:val="003177F5"/>
    <w:rsid w:val="00317B5B"/>
    <w:rsid w:val="00317C9E"/>
    <w:rsid w:val="0032026F"/>
    <w:rsid w:val="0032040F"/>
    <w:rsid w:val="00320C89"/>
    <w:rsid w:val="00320F79"/>
    <w:rsid w:val="0032145A"/>
    <w:rsid w:val="00321473"/>
    <w:rsid w:val="00321761"/>
    <w:rsid w:val="003217B3"/>
    <w:rsid w:val="003218CB"/>
    <w:rsid w:val="003218D3"/>
    <w:rsid w:val="0032191F"/>
    <w:rsid w:val="0032196C"/>
    <w:rsid w:val="00321AAC"/>
    <w:rsid w:val="00321DD3"/>
    <w:rsid w:val="00321F53"/>
    <w:rsid w:val="00322182"/>
    <w:rsid w:val="003225A3"/>
    <w:rsid w:val="00322AE3"/>
    <w:rsid w:val="00322B1E"/>
    <w:rsid w:val="00322C1B"/>
    <w:rsid w:val="00322DC5"/>
    <w:rsid w:val="00322F51"/>
    <w:rsid w:val="0032305C"/>
    <w:rsid w:val="003230F8"/>
    <w:rsid w:val="00323814"/>
    <w:rsid w:val="00323B58"/>
    <w:rsid w:val="00323CD1"/>
    <w:rsid w:val="00323CF6"/>
    <w:rsid w:val="00323E47"/>
    <w:rsid w:val="00323F5A"/>
    <w:rsid w:val="00324008"/>
    <w:rsid w:val="0032415B"/>
    <w:rsid w:val="003241C3"/>
    <w:rsid w:val="00324B62"/>
    <w:rsid w:val="00324CF9"/>
    <w:rsid w:val="00324F0F"/>
    <w:rsid w:val="00325170"/>
    <w:rsid w:val="003252BF"/>
    <w:rsid w:val="0032564D"/>
    <w:rsid w:val="0032566E"/>
    <w:rsid w:val="003258D4"/>
    <w:rsid w:val="0032595B"/>
    <w:rsid w:val="00325AFB"/>
    <w:rsid w:val="00325D5F"/>
    <w:rsid w:val="00326BC6"/>
    <w:rsid w:val="00326C73"/>
    <w:rsid w:val="00326E95"/>
    <w:rsid w:val="00326EB7"/>
    <w:rsid w:val="00327021"/>
    <w:rsid w:val="00327297"/>
    <w:rsid w:val="0032743E"/>
    <w:rsid w:val="00327560"/>
    <w:rsid w:val="00327596"/>
    <w:rsid w:val="0032782D"/>
    <w:rsid w:val="00327A93"/>
    <w:rsid w:val="00327AB5"/>
    <w:rsid w:val="00327B1D"/>
    <w:rsid w:val="00327DF1"/>
    <w:rsid w:val="00327FA2"/>
    <w:rsid w:val="0033004F"/>
    <w:rsid w:val="003300B5"/>
    <w:rsid w:val="003302EF"/>
    <w:rsid w:val="0033030F"/>
    <w:rsid w:val="003304B5"/>
    <w:rsid w:val="00330542"/>
    <w:rsid w:val="00330848"/>
    <w:rsid w:val="00330A89"/>
    <w:rsid w:val="00330B61"/>
    <w:rsid w:val="00330CDC"/>
    <w:rsid w:val="00330CE9"/>
    <w:rsid w:val="00330DC2"/>
    <w:rsid w:val="00330EC9"/>
    <w:rsid w:val="00330FAE"/>
    <w:rsid w:val="00331081"/>
    <w:rsid w:val="00331279"/>
    <w:rsid w:val="0033133D"/>
    <w:rsid w:val="00331535"/>
    <w:rsid w:val="003315AC"/>
    <w:rsid w:val="00331620"/>
    <w:rsid w:val="0033193F"/>
    <w:rsid w:val="00331A36"/>
    <w:rsid w:val="00331A65"/>
    <w:rsid w:val="00331B33"/>
    <w:rsid w:val="00331EFC"/>
    <w:rsid w:val="003321AA"/>
    <w:rsid w:val="0033233C"/>
    <w:rsid w:val="0033238D"/>
    <w:rsid w:val="003325AE"/>
    <w:rsid w:val="0033266C"/>
    <w:rsid w:val="0033267A"/>
    <w:rsid w:val="0033279E"/>
    <w:rsid w:val="0033289A"/>
    <w:rsid w:val="00332A07"/>
    <w:rsid w:val="00332D65"/>
    <w:rsid w:val="00332D6F"/>
    <w:rsid w:val="00332ECE"/>
    <w:rsid w:val="00333359"/>
    <w:rsid w:val="003335A9"/>
    <w:rsid w:val="00333834"/>
    <w:rsid w:val="00333890"/>
    <w:rsid w:val="00333AB2"/>
    <w:rsid w:val="0033402B"/>
    <w:rsid w:val="003340AC"/>
    <w:rsid w:val="003343FB"/>
    <w:rsid w:val="00334669"/>
    <w:rsid w:val="00334680"/>
    <w:rsid w:val="003348C1"/>
    <w:rsid w:val="00334B85"/>
    <w:rsid w:val="00334E67"/>
    <w:rsid w:val="00334EAF"/>
    <w:rsid w:val="0033524C"/>
    <w:rsid w:val="003353DF"/>
    <w:rsid w:val="00335414"/>
    <w:rsid w:val="0033557D"/>
    <w:rsid w:val="0033582B"/>
    <w:rsid w:val="0033595F"/>
    <w:rsid w:val="00335CA3"/>
    <w:rsid w:val="00335E04"/>
    <w:rsid w:val="00335E34"/>
    <w:rsid w:val="0033636F"/>
    <w:rsid w:val="003364BF"/>
    <w:rsid w:val="003369EB"/>
    <w:rsid w:val="00336D86"/>
    <w:rsid w:val="00336DA3"/>
    <w:rsid w:val="00337189"/>
    <w:rsid w:val="003372CB"/>
    <w:rsid w:val="0033753E"/>
    <w:rsid w:val="0033783E"/>
    <w:rsid w:val="003378B1"/>
    <w:rsid w:val="0033793C"/>
    <w:rsid w:val="00337BE3"/>
    <w:rsid w:val="00337CD8"/>
    <w:rsid w:val="00337D63"/>
    <w:rsid w:val="00337E4F"/>
    <w:rsid w:val="00337E79"/>
    <w:rsid w:val="0034016B"/>
    <w:rsid w:val="00340622"/>
    <w:rsid w:val="00340B71"/>
    <w:rsid w:val="00340B9A"/>
    <w:rsid w:val="00340C37"/>
    <w:rsid w:val="00340C77"/>
    <w:rsid w:val="00340CED"/>
    <w:rsid w:val="00340DF3"/>
    <w:rsid w:val="00340FA2"/>
    <w:rsid w:val="003414FB"/>
    <w:rsid w:val="00341602"/>
    <w:rsid w:val="00341669"/>
    <w:rsid w:val="00341B89"/>
    <w:rsid w:val="00341D07"/>
    <w:rsid w:val="00341F87"/>
    <w:rsid w:val="00342107"/>
    <w:rsid w:val="003421F5"/>
    <w:rsid w:val="00342364"/>
    <w:rsid w:val="003424F9"/>
    <w:rsid w:val="003425B1"/>
    <w:rsid w:val="003425E3"/>
    <w:rsid w:val="00342A82"/>
    <w:rsid w:val="00342BEB"/>
    <w:rsid w:val="00342F35"/>
    <w:rsid w:val="003430EC"/>
    <w:rsid w:val="0034315A"/>
    <w:rsid w:val="0034323F"/>
    <w:rsid w:val="003435DD"/>
    <w:rsid w:val="00343652"/>
    <w:rsid w:val="00343673"/>
    <w:rsid w:val="0034374C"/>
    <w:rsid w:val="003437D2"/>
    <w:rsid w:val="00343842"/>
    <w:rsid w:val="00343994"/>
    <w:rsid w:val="00343DCB"/>
    <w:rsid w:val="00343DFE"/>
    <w:rsid w:val="003442F5"/>
    <w:rsid w:val="00344696"/>
    <w:rsid w:val="003446E3"/>
    <w:rsid w:val="0034470B"/>
    <w:rsid w:val="0034470C"/>
    <w:rsid w:val="0034475D"/>
    <w:rsid w:val="00344822"/>
    <w:rsid w:val="00344A3C"/>
    <w:rsid w:val="00344BF4"/>
    <w:rsid w:val="00344D71"/>
    <w:rsid w:val="003451CE"/>
    <w:rsid w:val="00345577"/>
    <w:rsid w:val="0034577F"/>
    <w:rsid w:val="003458F2"/>
    <w:rsid w:val="003458FF"/>
    <w:rsid w:val="00345BC4"/>
    <w:rsid w:val="00345C08"/>
    <w:rsid w:val="00345CAC"/>
    <w:rsid w:val="00345CCE"/>
    <w:rsid w:val="00345DCE"/>
    <w:rsid w:val="00346096"/>
    <w:rsid w:val="00346257"/>
    <w:rsid w:val="0034626C"/>
    <w:rsid w:val="00346591"/>
    <w:rsid w:val="00346951"/>
    <w:rsid w:val="00346997"/>
    <w:rsid w:val="00346FDD"/>
    <w:rsid w:val="0034715C"/>
    <w:rsid w:val="00347607"/>
    <w:rsid w:val="00347A37"/>
    <w:rsid w:val="00347A6E"/>
    <w:rsid w:val="00347B51"/>
    <w:rsid w:val="00347C53"/>
    <w:rsid w:val="003501B1"/>
    <w:rsid w:val="003502B5"/>
    <w:rsid w:val="00350534"/>
    <w:rsid w:val="003506DF"/>
    <w:rsid w:val="00350750"/>
    <w:rsid w:val="0035075B"/>
    <w:rsid w:val="003509F4"/>
    <w:rsid w:val="00350A94"/>
    <w:rsid w:val="00350B83"/>
    <w:rsid w:val="00350C0B"/>
    <w:rsid w:val="00350FF9"/>
    <w:rsid w:val="00351090"/>
    <w:rsid w:val="00351196"/>
    <w:rsid w:val="003511A4"/>
    <w:rsid w:val="003512D6"/>
    <w:rsid w:val="00351335"/>
    <w:rsid w:val="00351A27"/>
    <w:rsid w:val="00351B2F"/>
    <w:rsid w:val="00351CD4"/>
    <w:rsid w:val="00351E1D"/>
    <w:rsid w:val="00352095"/>
    <w:rsid w:val="00352157"/>
    <w:rsid w:val="00352243"/>
    <w:rsid w:val="0035230D"/>
    <w:rsid w:val="0035259D"/>
    <w:rsid w:val="00352A20"/>
    <w:rsid w:val="00352A7E"/>
    <w:rsid w:val="00352B2E"/>
    <w:rsid w:val="00352BCB"/>
    <w:rsid w:val="00352D1C"/>
    <w:rsid w:val="00353018"/>
    <w:rsid w:val="003532D9"/>
    <w:rsid w:val="0035366A"/>
    <w:rsid w:val="00353692"/>
    <w:rsid w:val="00353A0A"/>
    <w:rsid w:val="00353E22"/>
    <w:rsid w:val="00353F2B"/>
    <w:rsid w:val="00354420"/>
    <w:rsid w:val="00354812"/>
    <w:rsid w:val="0035487B"/>
    <w:rsid w:val="00354913"/>
    <w:rsid w:val="00354948"/>
    <w:rsid w:val="00354B6E"/>
    <w:rsid w:val="00354BB7"/>
    <w:rsid w:val="00354C84"/>
    <w:rsid w:val="00354F42"/>
    <w:rsid w:val="003550AF"/>
    <w:rsid w:val="003553E8"/>
    <w:rsid w:val="00355484"/>
    <w:rsid w:val="00355961"/>
    <w:rsid w:val="003559A0"/>
    <w:rsid w:val="00355D5C"/>
    <w:rsid w:val="00355D9A"/>
    <w:rsid w:val="00355DAA"/>
    <w:rsid w:val="00356004"/>
    <w:rsid w:val="00356148"/>
    <w:rsid w:val="0035617F"/>
    <w:rsid w:val="003561D3"/>
    <w:rsid w:val="00356207"/>
    <w:rsid w:val="0035626A"/>
    <w:rsid w:val="0035638F"/>
    <w:rsid w:val="00356651"/>
    <w:rsid w:val="00356763"/>
    <w:rsid w:val="003569CA"/>
    <w:rsid w:val="00356B6D"/>
    <w:rsid w:val="00356CF3"/>
    <w:rsid w:val="0035722D"/>
    <w:rsid w:val="0035734D"/>
    <w:rsid w:val="003573EB"/>
    <w:rsid w:val="00357406"/>
    <w:rsid w:val="0035742E"/>
    <w:rsid w:val="0035778E"/>
    <w:rsid w:val="003577DC"/>
    <w:rsid w:val="00357858"/>
    <w:rsid w:val="003578D5"/>
    <w:rsid w:val="00357AC6"/>
    <w:rsid w:val="00357B78"/>
    <w:rsid w:val="00357D82"/>
    <w:rsid w:val="00357E8D"/>
    <w:rsid w:val="00357FB6"/>
    <w:rsid w:val="00360000"/>
    <w:rsid w:val="003601C6"/>
    <w:rsid w:val="003602AF"/>
    <w:rsid w:val="00360655"/>
    <w:rsid w:val="0036067A"/>
    <w:rsid w:val="003606BA"/>
    <w:rsid w:val="003608D8"/>
    <w:rsid w:val="003609C1"/>
    <w:rsid w:val="00360A04"/>
    <w:rsid w:val="00360ACC"/>
    <w:rsid w:val="00360F00"/>
    <w:rsid w:val="003610FF"/>
    <w:rsid w:val="00361460"/>
    <w:rsid w:val="003614A6"/>
    <w:rsid w:val="00361CA1"/>
    <w:rsid w:val="00361CC7"/>
    <w:rsid w:val="00361F94"/>
    <w:rsid w:val="0036214E"/>
    <w:rsid w:val="00362305"/>
    <w:rsid w:val="00362339"/>
    <w:rsid w:val="0036291B"/>
    <w:rsid w:val="00362B32"/>
    <w:rsid w:val="00362BD9"/>
    <w:rsid w:val="00362F1A"/>
    <w:rsid w:val="0036341C"/>
    <w:rsid w:val="0036341D"/>
    <w:rsid w:val="00363531"/>
    <w:rsid w:val="003635E2"/>
    <w:rsid w:val="00363997"/>
    <w:rsid w:val="00363B11"/>
    <w:rsid w:val="003642F6"/>
    <w:rsid w:val="003643D2"/>
    <w:rsid w:val="00364682"/>
    <w:rsid w:val="0036485E"/>
    <w:rsid w:val="00364B16"/>
    <w:rsid w:val="00364BE2"/>
    <w:rsid w:val="00364D70"/>
    <w:rsid w:val="00364D90"/>
    <w:rsid w:val="00364EDE"/>
    <w:rsid w:val="00364F3F"/>
    <w:rsid w:val="00364FC4"/>
    <w:rsid w:val="003651BB"/>
    <w:rsid w:val="0036546D"/>
    <w:rsid w:val="00365543"/>
    <w:rsid w:val="00365666"/>
    <w:rsid w:val="003656B5"/>
    <w:rsid w:val="003656BE"/>
    <w:rsid w:val="00365795"/>
    <w:rsid w:val="00365A6F"/>
    <w:rsid w:val="00365C3A"/>
    <w:rsid w:val="00366046"/>
    <w:rsid w:val="003663FB"/>
    <w:rsid w:val="00366460"/>
    <w:rsid w:val="003668C9"/>
    <w:rsid w:val="0036698B"/>
    <w:rsid w:val="00366B64"/>
    <w:rsid w:val="003670ED"/>
    <w:rsid w:val="00367173"/>
    <w:rsid w:val="003671EA"/>
    <w:rsid w:val="003672C7"/>
    <w:rsid w:val="003673CE"/>
    <w:rsid w:val="00367429"/>
    <w:rsid w:val="00367689"/>
    <w:rsid w:val="0036771D"/>
    <w:rsid w:val="003677D5"/>
    <w:rsid w:val="0036785E"/>
    <w:rsid w:val="00367BCD"/>
    <w:rsid w:val="00367C9A"/>
    <w:rsid w:val="00367D77"/>
    <w:rsid w:val="00367D9F"/>
    <w:rsid w:val="00367FB1"/>
    <w:rsid w:val="0037007B"/>
    <w:rsid w:val="003705CD"/>
    <w:rsid w:val="003707B0"/>
    <w:rsid w:val="0037098A"/>
    <w:rsid w:val="00370B8B"/>
    <w:rsid w:val="00370BB7"/>
    <w:rsid w:val="00370E23"/>
    <w:rsid w:val="00370ECE"/>
    <w:rsid w:val="00370EEA"/>
    <w:rsid w:val="00370FBF"/>
    <w:rsid w:val="00371008"/>
    <w:rsid w:val="003710F9"/>
    <w:rsid w:val="0037131B"/>
    <w:rsid w:val="00371760"/>
    <w:rsid w:val="00371804"/>
    <w:rsid w:val="00371E1D"/>
    <w:rsid w:val="00372283"/>
    <w:rsid w:val="003722C7"/>
    <w:rsid w:val="0037240D"/>
    <w:rsid w:val="003725ED"/>
    <w:rsid w:val="00373284"/>
    <w:rsid w:val="003732DC"/>
    <w:rsid w:val="00373422"/>
    <w:rsid w:val="00373447"/>
    <w:rsid w:val="00373662"/>
    <w:rsid w:val="0037374B"/>
    <w:rsid w:val="00373AF3"/>
    <w:rsid w:val="00373DE4"/>
    <w:rsid w:val="00373E8C"/>
    <w:rsid w:val="0037400A"/>
    <w:rsid w:val="003743F9"/>
    <w:rsid w:val="00374403"/>
    <w:rsid w:val="00374457"/>
    <w:rsid w:val="003745AF"/>
    <w:rsid w:val="00374685"/>
    <w:rsid w:val="003747B4"/>
    <w:rsid w:val="00374A1F"/>
    <w:rsid w:val="00374A54"/>
    <w:rsid w:val="00374CA0"/>
    <w:rsid w:val="00374D18"/>
    <w:rsid w:val="00374EF6"/>
    <w:rsid w:val="00374F3B"/>
    <w:rsid w:val="00375022"/>
    <w:rsid w:val="00375114"/>
    <w:rsid w:val="00375127"/>
    <w:rsid w:val="00375174"/>
    <w:rsid w:val="0037534E"/>
    <w:rsid w:val="003755EB"/>
    <w:rsid w:val="0037569C"/>
    <w:rsid w:val="003757E0"/>
    <w:rsid w:val="003758CE"/>
    <w:rsid w:val="00375D4A"/>
    <w:rsid w:val="00375F05"/>
    <w:rsid w:val="00375FD7"/>
    <w:rsid w:val="00376045"/>
    <w:rsid w:val="003760CC"/>
    <w:rsid w:val="00376251"/>
    <w:rsid w:val="00376545"/>
    <w:rsid w:val="003768E2"/>
    <w:rsid w:val="00376E4B"/>
    <w:rsid w:val="0037700E"/>
    <w:rsid w:val="00377067"/>
    <w:rsid w:val="0037724F"/>
    <w:rsid w:val="003774A9"/>
    <w:rsid w:val="003774ED"/>
    <w:rsid w:val="00377C3D"/>
    <w:rsid w:val="00377CCD"/>
    <w:rsid w:val="00377DD9"/>
    <w:rsid w:val="0038008A"/>
    <w:rsid w:val="003800CC"/>
    <w:rsid w:val="0038018B"/>
    <w:rsid w:val="00380342"/>
    <w:rsid w:val="0038056A"/>
    <w:rsid w:val="00380590"/>
    <w:rsid w:val="003805ED"/>
    <w:rsid w:val="00380710"/>
    <w:rsid w:val="00380869"/>
    <w:rsid w:val="0038087D"/>
    <w:rsid w:val="00380B86"/>
    <w:rsid w:val="00380BDD"/>
    <w:rsid w:val="00380BED"/>
    <w:rsid w:val="00380E88"/>
    <w:rsid w:val="003811E1"/>
    <w:rsid w:val="003816D6"/>
    <w:rsid w:val="003818C5"/>
    <w:rsid w:val="003819F7"/>
    <w:rsid w:val="00381A5A"/>
    <w:rsid w:val="00381AD2"/>
    <w:rsid w:val="00381B43"/>
    <w:rsid w:val="00382112"/>
    <w:rsid w:val="003821B1"/>
    <w:rsid w:val="0038221A"/>
    <w:rsid w:val="003823AF"/>
    <w:rsid w:val="003824C0"/>
    <w:rsid w:val="003825CC"/>
    <w:rsid w:val="00382643"/>
    <w:rsid w:val="00382692"/>
    <w:rsid w:val="003826B4"/>
    <w:rsid w:val="003829A4"/>
    <w:rsid w:val="00382A18"/>
    <w:rsid w:val="00382B19"/>
    <w:rsid w:val="00382D8B"/>
    <w:rsid w:val="00382F04"/>
    <w:rsid w:val="00383675"/>
    <w:rsid w:val="003836F6"/>
    <w:rsid w:val="00383710"/>
    <w:rsid w:val="00383818"/>
    <w:rsid w:val="00383D69"/>
    <w:rsid w:val="00383E45"/>
    <w:rsid w:val="00383E99"/>
    <w:rsid w:val="0038417D"/>
    <w:rsid w:val="003841FB"/>
    <w:rsid w:val="00384466"/>
    <w:rsid w:val="0038465B"/>
    <w:rsid w:val="003848E7"/>
    <w:rsid w:val="00384D1A"/>
    <w:rsid w:val="00384D53"/>
    <w:rsid w:val="00384DA2"/>
    <w:rsid w:val="00384DE0"/>
    <w:rsid w:val="00384EC5"/>
    <w:rsid w:val="00385124"/>
    <w:rsid w:val="0038525D"/>
    <w:rsid w:val="003856D3"/>
    <w:rsid w:val="0038597A"/>
    <w:rsid w:val="00385B20"/>
    <w:rsid w:val="00385BC1"/>
    <w:rsid w:val="00385C86"/>
    <w:rsid w:val="0038604C"/>
    <w:rsid w:val="00386657"/>
    <w:rsid w:val="0038680C"/>
    <w:rsid w:val="00386851"/>
    <w:rsid w:val="00386985"/>
    <w:rsid w:val="003869CB"/>
    <w:rsid w:val="003869E6"/>
    <w:rsid w:val="00386B31"/>
    <w:rsid w:val="00386F02"/>
    <w:rsid w:val="00386FF4"/>
    <w:rsid w:val="003870E3"/>
    <w:rsid w:val="0038742A"/>
    <w:rsid w:val="0038764B"/>
    <w:rsid w:val="003877DF"/>
    <w:rsid w:val="0038791C"/>
    <w:rsid w:val="00387BED"/>
    <w:rsid w:val="00387C7F"/>
    <w:rsid w:val="00387D12"/>
    <w:rsid w:val="00387F7E"/>
    <w:rsid w:val="00390578"/>
    <w:rsid w:val="003906BC"/>
    <w:rsid w:val="00390767"/>
    <w:rsid w:val="00390993"/>
    <w:rsid w:val="00390C94"/>
    <w:rsid w:val="0039103C"/>
    <w:rsid w:val="00391045"/>
    <w:rsid w:val="00391397"/>
    <w:rsid w:val="003913A0"/>
    <w:rsid w:val="0039146C"/>
    <w:rsid w:val="00391782"/>
    <w:rsid w:val="0039199E"/>
    <w:rsid w:val="00391AD5"/>
    <w:rsid w:val="00391E28"/>
    <w:rsid w:val="00392099"/>
    <w:rsid w:val="003920E7"/>
    <w:rsid w:val="003921BE"/>
    <w:rsid w:val="003921DB"/>
    <w:rsid w:val="003922BB"/>
    <w:rsid w:val="003924FA"/>
    <w:rsid w:val="003925CE"/>
    <w:rsid w:val="00392943"/>
    <w:rsid w:val="00392E14"/>
    <w:rsid w:val="00392E4D"/>
    <w:rsid w:val="00392E51"/>
    <w:rsid w:val="00392EA0"/>
    <w:rsid w:val="00392EA6"/>
    <w:rsid w:val="00392FF7"/>
    <w:rsid w:val="003930F9"/>
    <w:rsid w:val="00393524"/>
    <w:rsid w:val="00393720"/>
    <w:rsid w:val="003937CF"/>
    <w:rsid w:val="0039381D"/>
    <w:rsid w:val="00393F98"/>
    <w:rsid w:val="00393FF1"/>
    <w:rsid w:val="00394033"/>
    <w:rsid w:val="003941E2"/>
    <w:rsid w:val="0039442A"/>
    <w:rsid w:val="00394438"/>
    <w:rsid w:val="0039456F"/>
    <w:rsid w:val="00394C37"/>
    <w:rsid w:val="003951AD"/>
    <w:rsid w:val="00395233"/>
    <w:rsid w:val="003954D4"/>
    <w:rsid w:val="00395523"/>
    <w:rsid w:val="00395678"/>
    <w:rsid w:val="0039583D"/>
    <w:rsid w:val="00395912"/>
    <w:rsid w:val="00395EC9"/>
    <w:rsid w:val="00395EDA"/>
    <w:rsid w:val="00395F79"/>
    <w:rsid w:val="0039607B"/>
    <w:rsid w:val="00396453"/>
    <w:rsid w:val="00396774"/>
    <w:rsid w:val="003967F7"/>
    <w:rsid w:val="00396BC4"/>
    <w:rsid w:val="00396D86"/>
    <w:rsid w:val="00396ED7"/>
    <w:rsid w:val="00396F12"/>
    <w:rsid w:val="00397441"/>
    <w:rsid w:val="0039757B"/>
    <w:rsid w:val="00397597"/>
    <w:rsid w:val="00397614"/>
    <w:rsid w:val="00397641"/>
    <w:rsid w:val="00397D3A"/>
    <w:rsid w:val="00397E9C"/>
    <w:rsid w:val="003A018F"/>
    <w:rsid w:val="003A0AB9"/>
    <w:rsid w:val="003A0B49"/>
    <w:rsid w:val="003A0DFE"/>
    <w:rsid w:val="003A1124"/>
    <w:rsid w:val="003A1428"/>
    <w:rsid w:val="003A17F8"/>
    <w:rsid w:val="003A1A2E"/>
    <w:rsid w:val="003A1B59"/>
    <w:rsid w:val="003A1D80"/>
    <w:rsid w:val="003A208F"/>
    <w:rsid w:val="003A21C4"/>
    <w:rsid w:val="003A251B"/>
    <w:rsid w:val="003A2590"/>
    <w:rsid w:val="003A289F"/>
    <w:rsid w:val="003A2B0A"/>
    <w:rsid w:val="003A2C98"/>
    <w:rsid w:val="003A2D29"/>
    <w:rsid w:val="003A2DCF"/>
    <w:rsid w:val="003A2E24"/>
    <w:rsid w:val="003A2EA2"/>
    <w:rsid w:val="003A2EC6"/>
    <w:rsid w:val="003A2F18"/>
    <w:rsid w:val="003A301F"/>
    <w:rsid w:val="003A302C"/>
    <w:rsid w:val="003A3480"/>
    <w:rsid w:val="003A3504"/>
    <w:rsid w:val="003A36CC"/>
    <w:rsid w:val="003A36D0"/>
    <w:rsid w:val="003A36D3"/>
    <w:rsid w:val="003A37BD"/>
    <w:rsid w:val="003A3C93"/>
    <w:rsid w:val="003A3F8D"/>
    <w:rsid w:val="003A419F"/>
    <w:rsid w:val="003A42D1"/>
    <w:rsid w:val="003A4430"/>
    <w:rsid w:val="003A4560"/>
    <w:rsid w:val="003A4647"/>
    <w:rsid w:val="003A496E"/>
    <w:rsid w:val="003A4C61"/>
    <w:rsid w:val="003A4EE5"/>
    <w:rsid w:val="003A520E"/>
    <w:rsid w:val="003A5386"/>
    <w:rsid w:val="003A56C1"/>
    <w:rsid w:val="003A58E6"/>
    <w:rsid w:val="003A590B"/>
    <w:rsid w:val="003A5969"/>
    <w:rsid w:val="003A5C81"/>
    <w:rsid w:val="003A5CD2"/>
    <w:rsid w:val="003A5E58"/>
    <w:rsid w:val="003A5E66"/>
    <w:rsid w:val="003A60F8"/>
    <w:rsid w:val="003A61C7"/>
    <w:rsid w:val="003A61FA"/>
    <w:rsid w:val="003A644A"/>
    <w:rsid w:val="003A6453"/>
    <w:rsid w:val="003A64F0"/>
    <w:rsid w:val="003A658B"/>
    <w:rsid w:val="003A68F0"/>
    <w:rsid w:val="003A6ADD"/>
    <w:rsid w:val="003A6AE8"/>
    <w:rsid w:val="003A6B4F"/>
    <w:rsid w:val="003A7065"/>
    <w:rsid w:val="003A71FE"/>
    <w:rsid w:val="003A7339"/>
    <w:rsid w:val="003A73BD"/>
    <w:rsid w:val="003A769C"/>
    <w:rsid w:val="003A77CB"/>
    <w:rsid w:val="003A7B5F"/>
    <w:rsid w:val="003A7D52"/>
    <w:rsid w:val="003A7EE7"/>
    <w:rsid w:val="003A7F91"/>
    <w:rsid w:val="003B006C"/>
    <w:rsid w:val="003B01D0"/>
    <w:rsid w:val="003B0358"/>
    <w:rsid w:val="003B037C"/>
    <w:rsid w:val="003B0453"/>
    <w:rsid w:val="003B0704"/>
    <w:rsid w:val="003B0747"/>
    <w:rsid w:val="003B08B1"/>
    <w:rsid w:val="003B094F"/>
    <w:rsid w:val="003B0B2F"/>
    <w:rsid w:val="003B0B50"/>
    <w:rsid w:val="003B10C9"/>
    <w:rsid w:val="003B14C7"/>
    <w:rsid w:val="003B1638"/>
    <w:rsid w:val="003B1815"/>
    <w:rsid w:val="003B1D04"/>
    <w:rsid w:val="003B1DC9"/>
    <w:rsid w:val="003B1DD0"/>
    <w:rsid w:val="003B1EDD"/>
    <w:rsid w:val="003B1F29"/>
    <w:rsid w:val="003B1FFD"/>
    <w:rsid w:val="003B2008"/>
    <w:rsid w:val="003B20DA"/>
    <w:rsid w:val="003B2210"/>
    <w:rsid w:val="003B241F"/>
    <w:rsid w:val="003B24CC"/>
    <w:rsid w:val="003B2643"/>
    <w:rsid w:val="003B26F2"/>
    <w:rsid w:val="003B28C5"/>
    <w:rsid w:val="003B2C14"/>
    <w:rsid w:val="003B2D79"/>
    <w:rsid w:val="003B2E09"/>
    <w:rsid w:val="003B2F77"/>
    <w:rsid w:val="003B2FBB"/>
    <w:rsid w:val="003B30AA"/>
    <w:rsid w:val="003B30D4"/>
    <w:rsid w:val="003B3198"/>
    <w:rsid w:val="003B3486"/>
    <w:rsid w:val="003B3796"/>
    <w:rsid w:val="003B3852"/>
    <w:rsid w:val="003B3916"/>
    <w:rsid w:val="003B3B91"/>
    <w:rsid w:val="003B3C40"/>
    <w:rsid w:val="003B3D5E"/>
    <w:rsid w:val="003B3E3F"/>
    <w:rsid w:val="003B40E5"/>
    <w:rsid w:val="003B4270"/>
    <w:rsid w:val="003B4544"/>
    <w:rsid w:val="003B4655"/>
    <w:rsid w:val="003B499B"/>
    <w:rsid w:val="003B4C02"/>
    <w:rsid w:val="003B4C4F"/>
    <w:rsid w:val="003B4CBD"/>
    <w:rsid w:val="003B4D7D"/>
    <w:rsid w:val="003B4E97"/>
    <w:rsid w:val="003B4F7C"/>
    <w:rsid w:val="003B509D"/>
    <w:rsid w:val="003B50BA"/>
    <w:rsid w:val="003B5411"/>
    <w:rsid w:val="003B57F0"/>
    <w:rsid w:val="003B5A50"/>
    <w:rsid w:val="003B5B74"/>
    <w:rsid w:val="003B5C65"/>
    <w:rsid w:val="003B5D68"/>
    <w:rsid w:val="003B5EE7"/>
    <w:rsid w:val="003B6058"/>
    <w:rsid w:val="003B6612"/>
    <w:rsid w:val="003B682E"/>
    <w:rsid w:val="003B6A2F"/>
    <w:rsid w:val="003B6B32"/>
    <w:rsid w:val="003B6BEF"/>
    <w:rsid w:val="003B7125"/>
    <w:rsid w:val="003B7450"/>
    <w:rsid w:val="003B7592"/>
    <w:rsid w:val="003B78A0"/>
    <w:rsid w:val="003B7AA8"/>
    <w:rsid w:val="003B7D76"/>
    <w:rsid w:val="003B7E15"/>
    <w:rsid w:val="003B7E52"/>
    <w:rsid w:val="003C0226"/>
    <w:rsid w:val="003C0DA2"/>
    <w:rsid w:val="003C0E74"/>
    <w:rsid w:val="003C0E8D"/>
    <w:rsid w:val="003C0F87"/>
    <w:rsid w:val="003C123F"/>
    <w:rsid w:val="003C16F2"/>
    <w:rsid w:val="003C1712"/>
    <w:rsid w:val="003C1766"/>
    <w:rsid w:val="003C18B3"/>
    <w:rsid w:val="003C1997"/>
    <w:rsid w:val="003C19D4"/>
    <w:rsid w:val="003C19E0"/>
    <w:rsid w:val="003C1A0F"/>
    <w:rsid w:val="003C1ABB"/>
    <w:rsid w:val="003C23EF"/>
    <w:rsid w:val="003C2405"/>
    <w:rsid w:val="003C2612"/>
    <w:rsid w:val="003C264E"/>
    <w:rsid w:val="003C28F7"/>
    <w:rsid w:val="003C2AD6"/>
    <w:rsid w:val="003C2D65"/>
    <w:rsid w:val="003C2DEE"/>
    <w:rsid w:val="003C2E7A"/>
    <w:rsid w:val="003C2FFF"/>
    <w:rsid w:val="003C3014"/>
    <w:rsid w:val="003C353B"/>
    <w:rsid w:val="003C353F"/>
    <w:rsid w:val="003C35B0"/>
    <w:rsid w:val="003C3676"/>
    <w:rsid w:val="003C3691"/>
    <w:rsid w:val="003C36D2"/>
    <w:rsid w:val="003C3A80"/>
    <w:rsid w:val="003C3CDA"/>
    <w:rsid w:val="003C3F76"/>
    <w:rsid w:val="003C3FE8"/>
    <w:rsid w:val="003C40C0"/>
    <w:rsid w:val="003C4275"/>
    <w:rsid w:val="003C4414"/>
    <w:rsid w:val="003C447F"/>
    <w:rsid w:val="003C450B"/>
    <w:rsid w:val="003C467C"/>
    <w:rsid w:val="003C46D9"/>
    <w:rsid w:val="003C4758"/>
    <w:rsid w:val="003C4769"/>
    <w:rsid w:val="003C47AC"/>
    <w:rsid w:val="003C4B11"/>
    <w:rsid w:val="003C4EC8"/>
    <w:rsid w:val="003C4FD8"/>
    <w:rsid w:val="003C53CB"/>
    <w:rsid w:val="003C5553"/>
    <w:rsid w:val="003C578E"/>
    <w:rsid w:val="003C58D0"/>
    <w:rsid w:val="003C59F7"/>
    <w:rsid w:val="003C5A28"/>
    <w:rsid w:val="003C5D69"/>
    <w:rsid w:val="003C5D80"/>
    <w:rsid w:val="003C5DF7"/>
    <w:rsid w:val="003C5EFA"/>
    <w:rsid w:val="003C5FBF"/>
    <w:rsid w:val="003C5FDF"/>
    <w:rsid w:val="003C6027"/>
    <w:rsid w:val="003C6035"/>
    <w:rsid w:val="003C6045"/>
    <w:rsid w:val="003C6075"/>
    <w:rsid w:val="003C62A7"/>
    <w:rsid w:val="003C667C"/>
    <w:rsid w:val="003C6763"/>
    <w:rsid w:val="003C6CA4"/>
    <w:rsid w:val="003C6ECE"/>
    <w:rsid w:val="003C6EED"/>
    <w:rsid w:val="003C6F4B"/>
    <w:rsid w:val="003C70F9"/>
    <w:rsid w:val="003C7429"/>
    <w:rsid w:val="003C755B"/>
    <w:rsid w:val="003C75B2"/>
    <w:rsid w:val="003C75E4"/>
    <w:rsid w:val="003C7628"/>
    <w:rsid w:val="003D058C"/>
    <w:rsid w:val="003D06BD"/>
    <w:rsid w:val="003D112E"/>
    <w:rsid w:val="003D1131"/>
    <w:rsid w:val="003D116B"/>
    <w:rsid w:val="003D11D5"/>
    <w:rsid w:val="003D11F1"/>
    <w:rsid w:val="003D123E"/>
    <w:rsid w:val="003D195C"/>
    <w:rsid w:val="003D1A5E"/>
    <w:rsid w:val="003D1C38"/>
    <w:rsid w:val="003D2045"/>
    <w:rsid w:val="003D209D"/>
    <w:rsid w:val="003D2246"/>
    <w:rsid w:val="003D24AA"/>
    <w:rsid w:val="003D2670"/>
    <w:rsid w:val="003D26E8"/>
    <w:rsid w:val="003D27BC"/>
    <w:rsid w:val="003D29E7"/>
    <w:rsid w:val="003D2A16"/>
    <w:rsid w:val="003D2AB9"/>
    <w:rsid w:val="003D2D35"/>
    <w:rsid w:val="003D2E1A"/>
    <w:rsid w:val="003D2ED7"/>
    <w:rsid w:val="003D2F30"/>
    <w:rsid w:val="003D30C0"/>
    <w:rsid w:val="003D319C"/>
    <w:rsid w:val="003D321D"/>
    <w:rsid w:val="003D36B9"/>
    <w:rsid w:val="003D387E"/>
    <w:rsid w:val="003D38B8"/>
    <w:rsid w:val="003D390C"/>
    <w:rsid w:val="003D3A93"/>
    <w:rsid w:val="003D3AD1"/>
    <w:rsid w:val="003D42EE"/>
    <w:rsid w:val="003D46D5"/>
    <w:rsid w:val="003D48D3"/>
    <w:rsid w:val="003D4CAD"/>
    <w:rsid w:val="003D50EF"/>
    <w:rsid w:val="003D53E7"/>
    <w:rsid w:val="003D5564"/>
    <w:rsid w:val="003D561C"/>
    <w:rsid w:val="003D56EA"/>
    <w:rsid w:val="003D580A"/>
    <w:rsid w:val="003D596A"/>
    <w:rsid w:val="003D59E8"/>
    <w:rsid w:val="003D5A13"/>
    <w:rsid w:val="003D5ABF"/>
    <w:rsid w:val="003D5AE5"/>
    <w:rsid w:val="003D5C21"/>
    <w:rsid w:val="003D5F54"/>
    <w:rsid w:val="003D5F68"/>
    <w:rsid w:val="003D60D8"/>
    <w:rsid w:val="003D62E4"/>
    <w:rsid w:val="003D6425"/>
    <w:rsid w:val="003D65FD"/>
    <w:rsid w:val="003D7282"/>
    <w:rsid w:val="003D7325"/>
    <w:rsid w:val="003D73D2"/>
    <w:rsid w:val="003D74CE"/>
    <w:rsid w:val="003D74D6"/>
    <w:rsid w:val="003D7642"/>
    <w:rsid w:val="003D76E3"/>
    <w:rsid w:val="003D774B"/>
    <w:rsid w:val="003D774E"/>
    <w:rsid w:val="003E0279"/>
    <w:rsid w:val="003E0464"/>
    <w:rsid w:val="003E07A0"/>
    <w:rsid w:val="003E0837"/>
    <w:rsid w:val="003E0A9E"/>
    <w:rsid w:val="003E0C5D"/>
    <w:rsid w:val="003E0C8A"/>
    <w:rsid w:val="003E0E04"/>
    <w:rsid w:val="003E0E27"/>
    <w:rsid w:val="003E0F4D"/>
    <w:rsid w:val="003E110A"/>
    <w:rsid w:val="003E11DC"/>
    <w:rsid w:val="003E166B"/>
    <w:rsid w:val="003E1861"/>
    <w:rsid w:val="003E1EFB"/>
    <w:rsid w:val="003E2568"/>
    <w:rsid w:val="003E25F1"/>
    <w:rsid w:val="003E2671"/>
    <w:rsid w:val="003E26EB"/>
    <w:rsid w:val="003E27D7"/>
    <w:rsid w:val="003E29D7"/>
    <w:rsid w:val="003E2AC7"/>
    <w:rsid w:val="003E2AFC"/>
    <w:rsid w:val="003E2E44"/>
    <w:rsid w:val="003E2F61"/>
    <w:rsid w:val="003E3008"/>
    <w:rsid w:val="003E3113"/>
    <w:rsid w:val="003E317C"/>
    <w:rsid w:val="003E31DC"/>
    <w:rsid w:val="003E31EF"/>
    <w:rsid w:val="003E3518"/>
    <w:rsid w:val="003E369A"/>
    <w:rsid w:val="003E3726"/>
    <w:rsid w:val="003E38F3"/>
    <w:rsid w:val="003E39F1"/>
    <w:rsid w:val="003E3A5C"/>
    <w:rsid w:val="003E3C7F"/>
    <w:rsid w:val="003E3EB9"/>
    <w:rsid w:val="003E41AB"/>
    <w:rsid w:val="003E43BD"/>
    <w:rsid w:val="003E4A9A"/>
    <w:rsid w:val="003E4B28"/>
    <w:rsid w:val="003E4D65"/>
    <w:rsid w:val="003E4FDF"/>
    <w:rsid w:val="003E5248"/>
    <w:rsid w:val="003E5703"/>
    <w:rsid w:val="003E5763"/>
    <w:rsid w:val="003E57D1"/>
    <w:rsid w:val="003E59C6"/>
    <w:rsid w:val="003E5BAE"/>
    <w:rsid w:val="003E5E47"/>
    <w:rsid w:val="003E5E56"/>
    <w:rsid w:val="003E5EF6"/>
    <w:rsid w:val="003E606B"/>
    <w:rsid w:val="003E607D"/>
    <w:rsid w:val="003E6313"/>
    <w:rsid w:val="003E6406"/>
    <w:rsid w:val="003E646F"/>
    <w:rsid w:val="003E65BF"/>
    <w:rsid w:val="003E6753"/>
    <w:rsid w:val="003E676D"/>
    <w:rsid w:val="003E67DA"/>
    <w:rsid w:val="003E6A20"/>
    <w:rsid w:val="003E6C56"/>
    <w:rsid w:val="003E6D48"/>
    <w:rsid w:val="003E6EA3"/>
    <w:rsid w:val="003E6EDF"/>
    <w:rsid w:val="003E6FAD"/>
    <w:rsid w:val="003E7299"/>
    <w:rsid w:val="003E7358"/>
    <w:rsid w:val="003E73CF"/>
    <w:rsid w:val="003E760C"/>
    <w:rsid w:val="003E761B"/>
    <w:rsid w:val="003E7720"/>
    <w:rsid w:val="003E77EA"/>
    <w:rsid w:val="003E791F"/>
    <w:rsid w:val="003E79EC"/>
    <w:rsid w:val="003E7B7E"/>
    <w:rsid w:val="003E7CF9"/>
    <w:rsid w:val="003E7D3F"/>
    <w:rsid w:val="003E7DCE"/>
    <w:rsid w:val="003E7EB2"/>
    <w:rsid w:val="003F0317"/>
    <w:rsid w:val="003F043E"/>
    <w:rsid w:val="003F0470"/>
    <w:rsid w:val="003F0629"/>
    <w:rsid w:val="003F0684"/>
    <w:rsid w:val="003F081B"/>
    <w:rsid w:val="003F08BB"/>
    <w:rsid w:val="003F094D"/>
    <w:rsid w:val="003F0A3C"/>
    <w:rsid w:val="003F0AAA"/>
    <w:rsid w:val="003F0B56"/>
    <w:rsid w:val="003F0BA3"/>
    <w:rsid w:val="003F0FD0"/>
    <w:rsid w:val="003F10C1"/>
    <w:rsid w:val="003F10EE"/>
    <w:rsid w:val="003F11F8"/>
    <w:rsid w:val="003F12D4"/>
    <w:rsid w:val="003F135B"/>
    <w:rsid w:val="003F14F4"/>
    <w:rsid w:val="003F1963"/>
    <w:rsid w:val="003F1B0C"/>
    <w:rsid w:val="003F1BC3"/>
    <w:rsid w:val="003F218C"/>
    <w:rsid w:val="003F2265"/>
    <w:rsid w:val="003F2465"/>
    <w:rsid w:val="003F25F1"/>
    <w:rsid w:val="003F339B"/>
    <w:rsid w:val="003F35D6"/>
    <w:rsid w:val="003F38F3"/>
    <w:rsid w:val="003F3ACC"/>
    <w:rsid w:val="003F3D50"/>
    <w:rsid w:val="003F4006"/>
    <w:rsid w:val="003F4A69"/>
    <w:rsid w:val="003F4C17"/>
    <w:rsid w:val="003F4C3E"/>
    <w:rsid w:val="003F4EA4"/>
    <w:rsid w:val="003F5197"/>
    <w:rsid w:val="003F590C"/>
    <w:rsid w:val="003F5A0E"/>
    <w:rsid w:val="003F5B05"/>
    <w:rsid w:val="003F5C2F"/>
    <w:rsid w:val="003F5CC1"/>
    <w:rsid w:val="003F5CDF"/>
    <w:rsid w:val="003F5E4E"/>
    <w:rsid w:val="003F5E6D"/>
    <w:rsid w:val="003F5E94"/>
    <w:rsid w:val="003F5F3D"/>
    <w:rsid w:val="003F60F5"/>
    <w:rsid w:val="003F6836"/>
    <w:rsid w:val="003F6851"/>
    <w:rsid w:val="003F6C56"/>
    <w:rsid w:val="003F6FF8"/>
    <w:rsid w:val="003F700D"/>
    <w:rsid w:val="003F71C3"/>
    <w:rsid w:val="003F721B"/>
    <w:rsid w:val="003F74A1"/>
    <w:rsid w:val="003F759A"/>
    <w:rsid w:val="003F7605"/>
    <w:rsid w:val="003F771C"/>
    <w:rsid w:val="003F776D"/>
    <w:rsid w:val="003F7A5A"/>
    <w:rsid w:val="003F7C01"/>
    <w:rsid w:val="003F7D64"/>
    <w:rsid w:val="003F7D6E"/>
    <w:rsid w:val="003F7DE0"/>
    <w:rsid w:val="00400063"/>
    <w:rsid w:val="00400402"/>
    <w:rsid w:val="00400591"/>
    <w:rsid w:val="004005AC"/>
    <w:rsid w:val="00400797"/>
    <w:rsid w:val="00400803"/>
    <w:rsid w:val="00400820"/>
    <w:rsid w:val="00400D50"/>
    <w:rsid w:val="00400D8C"/>
    <w:rsid w:val="00401076"/>
    <w:rsid w:val="0040110D"/>
    <w:rsid w:val="00401130"/>
    <w:rsid w:val="0040133C"/>
    <w:rsid w:val="0040152D"/>
    <w:rsid w:val="00401590"/>
    <w:rsid w:val="0040159D"/>
    <w:rsid w:val="004015BD"/>
    <w:rsid w:val="0040170C"/>
    <w:rsid w:val="00401981"/>
    <w:rsid w:val="00401A59"/>
    <w:rsid w:val="00401A65"/>
    <w:rsid w:val="00401D24"/>
    <w:rsid w:val="00401E47"/>
    <w:rsid w:val="00401F16"/>
    <w:rsid w:val="00401F48"/>
    <w:rsid w:val="00401F5A"/>
    <w:rsid w:val="00401F6C"/>
    <w:rsid w:val="004020A8"/>
    <w:rsid w:val="004020DA"/>
    <w:rsid w:val="0040213C"/>
    <w:rsid w:val="004021DD"/>
    <w:rsid w:val="004021F7"/>
    <w:rsid w:val="00402217"/>
    <w:rsid w:val="004028A2"/>
    <w:rsid w:val="00402925"/>
    <w:rsid w:val="00402C19"/>
    <w:rsid w:val="00402D00"/>
    <w:rsid w:val="00402E58"/>
    <w:rsid w:val="00403202"/>
    <w:rsid w:val="0040353A"/>
    <w:rsid w:val="004037F7"/>
    <w:rsid w:val="00403ABE"/>
    <w:rsid w:val="00403B2F"/>
    <w:rsid w:val="00403C38"/>
    <w:rsid w:val="00403D9B"/>
    <w:rsid w:val="00403DBE"/>
    <w:rsid w:val="0040401C"/>
    <w:rsid w:val="0040425A"/>
    <w:rsid w:val="004047A3"/>
    <w:rsid w:val="00404BC8"/>
    <w:rsid w:val="00404BF7"/>
    <w:rsid w:val="00404DA8"/>
    <w:rsid w:val="00404EBB"/>
    <w:rsid w:val="00404F98"/>
    <w:rsid w:val="00405452"/>
    <w:rsid w:val="00405A3A"/>
    <w:rsid w:val="00405AB9"/>
    <w:rsid w:val="00405CEC"/>
    <w:rsid w:val="00406350"/>
    <w:rsid w:val="00406E4D"/>
    <w:rsid w:val="00406E79"/>
    <w:rsid w:val="00406E9A"/>
    <w:rsid w:val="004070D8"/>
    <w:rsid w:val="0040721A"/>
    <w:rsid w:val="004072C4"/>
    <w:rsid w:val="004072C7"/>
    <w:rsid w:val="00407463"/>
    <w:rsid w:val="0040756B"/>
    <w:rsid w:val="00407622"/>
    <w:rsid w:val="00407892"/>
    <w:rsid w:val="004078D0"/>
    <w:rsid w:val="00407BA2"/>
    <w:rsid w:val="00407FEE"/>
    <w:rsid w:val="0041052B"/>
    <w:rsid w:val="0041074F"/>
    <w:rsid w:val="004108A5"/>
    <w:rsid w:val="004108D5"/>
    <w:rsid w:val="004109C7"/>
    <w:rsid w:val="00410F17"/>
    <w:rsid w:val="00411084"/>
    <w:rsid w:val="004111ED"/>
    <w:rsid w:val="00411344"/>
    <w:rsid w:val="004113C1"/>
    <w:rsid w:val="00411413"/>
    <w:rsid w:val="004114D4"/>
    <w:rsid w:val="0041168C"/>
    <w:rsid w:val="0041172D"/>
    <w:rsid w:val="0041186A"/>
    <w:rsid w:val="0041188A"/>
    <w:rsid w:val="00411B1A"/>
    <w:rsid w:val="00411BAF"/>
    <w:rsid w:val="00411D14"/>
    <w:rsid w:val="00411E00"/>
    <w:rsid w:val="00411FB7"/>
    <w:rsid w:val="004123D5"/>
    <w:rsid w:val="00412446"/>
    <w:rsid w:val="00412577"/>
    <w:rsid w:val="00412583"/>
    <w:rsid w:val="00412736"/>
    <w:rsid w:val="00412A42"/>
    <w:rsid w:val="00412A49"/>
    <w:rsid w:val="00412BC6"/>
    <w:rsid w:val="00412D36"/>
    <w:rsid w:val="00412DFE"/>
    <w:rsid w:val="00412F8A"/>
    <w:rsid w:val="004130FB"/>
    <w:rsid w:val="004136DA"/>
    <w:rsid w:val="00413732"/>
    <w:rsid w:val="00413786"/>
    <w:rsid w:val="00413BB7"/>
    <w:rsid w:val="00413D3F"/>
    <w:rsid w:val="004144FE"/>
    <w:rsid w:val="00414594"/>
    <w:rsid w:val="00414630"/>
    <w:rsid w:val="004149C6"/>
    <w:rsid w:val="00414D8A"/>
    <w:rsid w:val="00414DDB"/>
    <w:rsid w:val="00414EAF"/>
    <w:rsid w:val="00415005"/>
    <w:rsid w:val="004150DE"/>
    <w:rsid w:val="004152A7"/>
    <w:rsid w:val="004153B0"/>
    <w:rsid w:val="00415618"/>
    <w:rsid w:val="00415AED"/>
    <w:rsid w:val="00415BBB"/>
    <w:rsid w:val="00415BDD"/>
    <w:rsid w:val="00415CC9"/>
    <w:rsid w:val="00416194"/>
    <w:rsid w:val="004164C8"/>
    <w:rsid w:val="00416513"/>
    <w:rsid w:val="0041652E"/>
    <w:rsid w:val="00416792"/>
    <w:rsid w:val="004167DD"/>
    <w:rsid w:val="00416952"/>
    <w:rsid w:val="00416B6F"/>
    <w:rsid w:val="00416D25"/>
    <w:rsid w:val="00416D4C"/>
    <w:rsid w:val="00416F64"/>
    <w:rsid w:val="00416FFD"/>
    <w:rsid w:val="00417549"/>
    <w:rsid w:val="004176C6"/>
    <w:rsid w:val="00417771"/>
    <w:rsid w:val="00417832"/>
    <w:rsid w:val="00417877"/>
    <w:rsid w:val="00417895"/>
    <w:rsid w:val="00417AF7"/>
    <w:rsid w:val="00417B54"/>
    <w:rsid w:val="00417B60"/>
    <w:rsid w:val="00417C3C"/>
    <w:rsid w:val="00417D6D"/>
    <w:rsid w:val="00420635"/>
    <w:rsid w:val="00420888"/>
    <w:rsid w:val="004208FA"/>
    <w:rsid w:val="00420AB3"/>
    <w:rsid w:val="00420CF5"/>
    <w:rsid w:val="00420DDD"/>
    <w:rsid w:val="00420E89"/>
    <w:rsid w:val="00420F60"/>
    <w:rsid w:val="004213EB"/>
    <w:rsid w:val="004214B8"/>
    <w:rsid w:val="00421710"/>
    <w:rsid w:val="00421791"/>
    <w:rsid w:val="0042182A"/>
    <w:rsid w:val="00421987"/>
    <w:rsid w:val="0042213A"/>
    <w:rsid w:val="004221C2"/>
    <w:rsid w:val="00422273"/>
    <w:rsid w:val="0042235E"/>
    <w:rsid w:val="00422651"/>
    <w:rsid w:val="00422670"/>
    <w:rsid w:val="004228C5"/>
    <w:rsid w:val="00422AE9"/>
    <w:rsid w:val="00422AF9"/>
    <w:rsid w:val="00422DCE"/>
    <w:rsid w:val="00422EBE"/>
    <w:rsid w:val="00423053"/>
    <w:rsid w:val="00423075"/>
    <w:rsid w:val="00423086"/>
    <w:rsid w:val="0042309B"/>
    <w:rsid w:val="004230BD"/>
    <w:rsid w:val="004231EC"/>
    <w:rsid w:val="004232B9"/>
    <w:rsid w:val="00423423"/>
    <w:rsid w:val="00423434"/>
    <w:rsid w:val="00423660"/>
    <w:rsid w:val="00423762"/>
    <w:rsid w:val="00423CA4"/>
    <w:rsid w:val="00423D9A"/>
    <w:rsid w:val="00423F4A"/>
    <w:rsid w:val="00423F7A"/>
    <w:rsid w:val="00423FAF"/>
    <w:rsid w:val="00424109"/>
    <w:rsid w:val="00424207"/>
    <w:rsid w:val="004245FC"/>
    <w:rsid w:val="0042463F"/>
    <w:rsid w:val="004246FB"/>
    <w:rsid w:val="004247AD"/>
    <w:rsid w:val="0042482D"/>
    <w:rsid w:val="00424881"/>
    <w:rsid w:val="00424A22"/>
    <w:rsid w:val="00424BD1"/>
    <w:rsid w:val="004252C0"/>
    <w:rsid w:val="004252F1"/>
    <w:rsid w:val="004256CF"/>
    <w:rsid w:val="0042577D"/>
    <w:rsid w:val="00425A8F"/>
    <w:rsid w:val="00425BEA"/>
    <w:rsid w:val="00425BFD"/>
    <w:rsid w:val="0042601C"/>
    <w:rsid w:val="00426088"/>
    <w:rsid w:val="00426174"/>
    <w:rsid w:val="0042621D"/>
    <w:rsid w:val="00426324"/>
    <w:rsid w:val="00426425"/>
    <w:rsid w:val="00426684"/>
    <w:rsid w:val="00426723"/>
    <w:rsid w:val="00426A13"/>
    <w:rsid w:val="00426A2B"/>
    <w:rsid w:val="00426A84"/>
    <w:rsid w:val="00426BBD"/>
    <w:rsid w:val="00426C13"/>
    <w:rsid w:val="00426D6B"/>
    <w:rsid w:val="00426E82"/>
    <w:rsid w:val="00426F9C"/>
    <w:rsid w:val="00427033"/>
    <w:rsid w:val="00427160"/>
    <w:rsid w:val="00427178"/>
    <w:rsid w:val="004271A2"/>
    <w:rsid w:val="00427211"/>
    <w:rsid w:val="00427345"/>
    <w:rsid w:val="004275BC"/>
    <w:rsid w:val="004277ED"/>
    <w:rsid w:val="00427906"/>
    <w:rsid w:val="00427933"/>
    <w:rsid w:val="00427A77"/>
    <w:rsid w:val="004303B9"/>
    <w:rsid w:val="00430491"/>
    <w:rsid w:val="004305DD"/>
    <w:rsid w:val="004307CC"/>
    <w:rsid w:val="00430A84"/>
    <w:rsid w:val="00430F82"/>
    <w:rsid w:val="00431213"/>
    <w:rsid w:val="004312D0"/>
    <w:rsid w:val="00431405"/>
    <w:rsid w:val="004317DF"/>
    <w:rsid w:val="0043181A"/>
    <w:rsid w:val="004318C3"/>
    <w:rsid w:val="00431A11"/>
    <w:rsid w:val="00431A51"/>
    <w:rsid w:val="00431DDB"/>
    <w:rsid w:val="00432091"/>
    <w:rsid w:val="00432211"/>
    <w:rsid w:val="0043225D"/>
    <w:rsid w:val="0043235A"/>
    <w:rsid w:val="00432432"/>
    <w:rsid w:val="00432435"/>
    <w:rsid w:val="004329DF"/>
    <w:rsid w:val="00432B33"/>
    <w:rsid w:val="00432BB5"/>
    <w:rsid w:val="00432C05"/>
    <w:rsid w:val="00432D6C"/>
    <w:rsid w:val="0043308B"/>
    <w:rsid w:val="004330B7"/>
    <w:rsid w:val="0043337B"/>
    <w:rsid w:val="004334AA"/>
    <w:rsid w:val="0043354D"/>
    <w:rsid w:val="00433571"/>
    <w:rsid w:val="0043358E"/>
    <w:rsid w:val="00433729"/>
    <w:rsid w:val="00433936"/>
    <w:rsid w:val="004339E7"/>
    <w:rsid w:val="00433AAD"/>
    <w:rsid w:val="00433B35"/>
    <w:rsid w:val="00433B9A"/>
    <w:rsid w:val="00433CD9"/>
    <w:rsid w:val="00433F3E"/>
    <w:rsid w:val="0043428B"/>
    <w:rsid w:val="00434305"/>
    <w:rsid w:val="004343DB"/>
    <w:rsid w:val="00434552"/>
    <w:rsid w:val="00434851"/>
    <w:rsid w:val="0043489A"/>
    <w:rsid w:val="00434A00"/>
    <w:rsid w:val="00434B81"/>
    <w:rsid w:val="00434D10"/>
    <w:rsid w:val="00434DB7"/>
    <w:rsid w:val="004351E5"/>
    <w:rsid w:val="0043538A"/>
    <w:rsid w:val="004353EE"/>
    <w:rsid w:val="0043552F"/>
    <w:rsid w:val="00435586"/>
    <w:rsid w:val="00435742"/>
    <w:rsid w:val="00435924"/>
    <w:rsid w:val="004359CB"/>
    <w:rsid w:val="0043611D"/>
    <w:rsid w:val="00436145"/>
    <w:rsid w:val="004362C6"/>
    <w:rsid w:val="00436729"/>
    <w:rsid w:val="0043687B"/>
    <w:rsid w:val="00436902"/>
    <w:rsid w:val="00436B2C"/>
    <w:rsid w:val="00436BBF"/>
    <w:rsid w:val="00436DE7"/>
    <w:rsid w:val="00436EBD"/>
    <w:rsid w:val="004371DD"/>
    <w:rsid w:val="00437391"/>
    <w:rsid w:val="00437470"/>
    <w:rsid w:val="004374E6"/>
    <w:rsid w:val="0043779C"/>
    <w:rsid w:val="004378BB"/>
    <w:rsid w:val="0043796B"/>
    <w:rsid w:val="00437BFB"/>
    <w:rsid w:val="00437C43"/>
    <w:rsid w:val="00437D2A"/>
    <w:rsid w:val="00437E64"/>
    <w:rsid w:val="004400DA"/>
    <w:rsid w:val="00440185"/>
    <w:rsid w:val="004407B1"/>
    <w:rsid w:val="004407E0"/>
    <w:rsid w:val="00440D48"/>
    <w:rsid w:val="00440EF1"/>
    <w:rsid w:val="00440F6B"/>
    <w:rsid w:val="00440FE5"/>
    <w:rsid w:val="0044101B"/>
    <w:rsid w:val="00441021"/>
    <w:rsid w:val="004411D8"/>
    <w:rsid w:val="00441847"/>
    <w:rsid w:val="004418D2"/>
    <w:rsid w:val="00441919"/>
    <w:rsid w:val="0044192C"/>
    <w:rsid w:val="00441B79"/>
    <w:rsid w:val="00441B8B"/>
    <w:rsid w:val="00441BCC"/>
    <w:rsid w:val="00441CF0"/>
    <w:rsid w:val="00441FB6"/>
    <w:rsid w:val="0044204B"/>
    <w:rsid w:val="00442098"/>
    <w:rsid w:val="004423F8"/>
    <w:rsid w:val="0044264A"/>
    <w:rsid w:val="00442832"/>
    <w:rsid w:val="004429FE"/>
    <w:rsid w:val="00442CD7"/>
    <w:rsid w:val="00442E95"/>
    <w:rsid w:val="00442F1E"/>
    <w:rsid w:val="00442F8C"/>
    <w:rsid w:val="00442FFE"/>
    <w:rsid w:val="0044327A"/>
    <w:rsid w:val="00443522"/>
    <w:rsid w:val="0044363E"/>
    <w:rsid w:val="00443710"/>
    <w:rsid w:val="00443830"/>
    <w:rsid w:val="004439F3"/>
    <w:rsid w:val="00443D43"/>
    <w:rsid w:val="00444039"/>
    <w:rsid w:val="0044454B"/>
    <w:rsid w:val="00444648"/>
    <w:rsid w:val="0044472D"/>
    <w:rsid w:val="00444933"/>
    <w:rsid w:val="00444A45"/>
    <w:rsid w:val="00444FFE"/>
    <w:rsid w:val="004452B8"/>
    <w:rsid w:val="004454A2"/>
    <w:rsid w:val="004455D7"/>
    <w:rsid w:val="00445796"/>
    <w:rsid w:val="0044581E"/>
    <w:rsid w:val="00445BA3"/>
    <w:rsid w:val="00445CF9"/>
    <w:rsid w:val="00445DCB"/>
    <w:rsid w:val="0044612C"/>
    <w:rsid w:val="00446319"/>
    <w:rsid w:val="004463E7"/>
    <w:rsid w:val="0044662F"/>
    <w:rsid w:val="00446803"/>
    <w:rsid w:val="00446819"/>
    <w:rsid w:val="00446A7B"/>
    <w:rsid w:val="00446C8A"/>
    <w:rsid w:val="00446D7F"/>
    <w:rsid w:val="00446F13"/>
    <w:rsid w:val="0044742A"/>
    <w:rsid w:val="004474FE"/>
    <w:rsid w:val="00447897"/>
    <w:rsid w:val="004478FD"/>
    <w:rsid w:val="00447907"/>
    <w:rsid w:val="00447B02"/>
    <w:rsid w:val="00447B10"/>
    <w:rsid w:val="00447FC4"/>
    <w:rsid w:val="00450149"/>
    <w:rsid w:val="004501BB"/>
    <w:rsid w:val="004501D9"/>
    <w:rsid w:val="00450254"/>
    <w:rsid w:val="0045025C"/>
    <w:rsid w:val="00450328"/>
    <w:rsid w:val="004503E1"/>
    <w:rsid w:val="004504A5"/>
    <w:rsid w:val="0045090F"/>
    <w:rsid w:val="00450D5F"/>
    <w:rsid w:val="00450DA8"/>
    <w:rsid w:val="00450F40"/>
    <w:rsid w:val="00451381"/>
    <w:rsid w:val="004517C0"/>
    <w:rsid w:val="00451835"/>
    <w:rsid w:val="00451963"/>
    <w:rsid w:val="00451A6E"/>
    <w:rsid w:val="00451D66"/>
    <w:rsid w:val="00451E9A"/>
    <w:rsid w:val="00452144"/>
    <w:rsid w:val="004521A4"/>
    <w:rsid w:val="00452238"/>
    <w:rsid w:val="00452265"/>
    <w:rsid w:val="00452678"/>
    <w:rsid w:val="0045286B"/>
    <w:rsid w:val="00452F9F"/>
    <w:rsid w:val="004532AA"/>
    <w:rsid w:val="00453339"/>
    <w:rsid w:val="00453546"/>
    <w:rsid w:val="00453584"/>
    <w:rsid w:val="0045358B"/>
    <w:rsid w:val="004535D3"/>
    <w:rsid w:val="0045377D"/>
    <w:rsid w:val="00453787"/>
    <w:rsid w:val="004537BE"/>
    <w:rsid w:val="00453868"/>
    <w:rsid w:val="00453ADB"/>
    <w:rsid w:val="00453B60"/>
    <w:rsid w:val="00453C09"/>
    <w:rsid w:val="00453C29"/>
    <w:rsid w:val="00454365"/>
    <w:rsid w:val="004545D6"/>
    <w:rsid w:val="0045460F"/>
    <w:rsid w:val="004548FA"/>
    <w:rsid w:val="00454B04"/>
    <w:rsid w:val="00454B14"/>
    <w:rsid w:val="00454C20"/>
    <w:rsid w:val="00454D2F"/>
    <w:rsid w:val="00454F56"/>
    <w:rsid w:val="00454FD7"/>
    <w:rsid w:val="00455757"/>
    <w:rsid w:val="004557A5"/>
    <w:rsid w:val="004557BD"/>
    <w:rsid w:val="00455830"/>
    <w:rsid w:val="0045588F"/>
    <w:rsid w:val="00455A33"/>
    <w:rsid w:val="00455CF4"/>
    <w:rsid w:val="00456032"/>
    <w:rsid w:val="004560F7"/>
    <w:rsid w:val="00456557"/>
    <w:rsid w:val="00456C0F"/>
    <w:rsid w:val="00456D4D"/>
    <w:rsid w:val="00456F54"/>
    <w:rsid w:val="004570A9"/>
    <w:rsid w:val="00457129"/>
    <w:rsid w:val="0045728C"/>
    <w:rsid w:val="004572FF"/>
    <w:rsid w:val="004575CF"/>
    <w:rsid w:val="0045763C"/>
    <w:rsid w:val="004576BC"/>
    <w:rsid w:val="004576CF"/>
    <w:rsid w:val="004577E9"/>
    <w:rsid w:val="00457B2A"/>
    <w:rsid w:val="00457C65"/>
    <w:rsid w:val="00457CD4"/>
    <w:rsid w:val="00457EC7"/>
    <w:rsid w:val="00457F42"/>
    <w:rsid w:val="00457F72"/>
    <w:rsid w:val="00457F87"/>
    <w:rsid w:val="00460284"/>
    <w:rsid w:val="004602AB"/>
    <w:rsid w:val="0046034C"/>
    <w:rsid w:val="00460460"/>
    <w:rsid w:val="0046067B"/>
    <w:rsid w:val="0046084D"/>
    <w:rsid w:val="0046088C"/>
    <w:rsid w:val="00461319"/>
    <w:rsid w:val="00461422"/>
    <w:rsid w:val="0046152D"/>
    <w:rsid w:val="00461653"/>
    <w:rsid w:val="0046177E"/>
    <w:rsid w:val="004619D2"/>
    <w:rsid w:val="00461BD0"/>
    <w:rsid w:val="00461E3F"/>
    <w:rsid w:val="00461E58"/>
    <w:rsid w:val="0046212F"/>
    <w:rsid w:val="004621E2"/>
    <w:rsid w:val="004627F3"/>
    <w:rsid w:val="00462A9E"/>
    <w:rsid w:val="00462BDD"/>
    <w:rsid w:val="00462E3F"/>
    <w:rsid w:val="004630D7"/>
    <w:rsid w:val="00463112"/>
    <w:rsid w:val="0046315E"/>
    <w:rsid w:val="00463243"/>
    <w:rsid w:val="00463244"/>
    <w:rsid w:val="00463315"/>
    <w:rsid w:val="0046349C"/>
    <w:rsid w:val="004635D9"/>
    <w:rsid w:val="00463667"/>
    <w:rsid w:val="004636CB"/>
    <w:rsid w:val="004636FA"/>
    <w:rsid w:val="0046373D"/>
    <w:rsid w:val="00463E54"/>
    <w:rsid w:val="00464092"/>
    <w:rsid w:val="004644A0"/>
    <w:rsid w:val="00464577"/>
    <w:rsid w:val="00464AF9"/>
    <w:rsid w:val="00464B04"/>
    <w:rsid w:val="00464BC8"/>
    <w:rsid w:val="00464E5B"/>
    <w:rsid w:val="00464EBF"/>
    <w:rsid w:val="00464EE8"/>
    <w:rsid w:val="00464FE8"/>
    <w:rsid w:val="004651DB"/>
    <w:rsid w:val="00465230"/>
    <w:rsid w:val="004652A5"/>
    <w:rsid w:val="0046578B"/>
    <w:rsid w:val="0046582A"/>
    <w:rsid w:val="00465AD0"/>
    <w:rsid w:val="00465D98"/>
    <w:rsid w:val="004661F9"/>
    <w:rsid w:val="00466281"/>
    <w:rsid w:val="004663CB"/>
    <w:rsid w:val="00466415"/>
    <w:rsid w:val="0046649C"/>
    <w:rsid w:val="00466651"/>
    <w:rsid w:val="0046665A"/>
    <w:rsid w:val="004666D3"/>
    <w:rsid w:val="00466728"/>
    <w:rsid w:val="0046684E"/>
    <w:rsid w:val="00466856"/>
    <w:rsid w:val="0046689E"/>
    <w:rsid w:val="00466990"/>
    <w:rsid w:val="00466A5F"/>
    <w:rsid w:val="00466C6C"/>
    <w:rsid w:val="00466CDE"/>
    <w:rsid w:val="00466D69"/>
    <w:rsid w:val="00466DAE"/>
    <w:rsid w:val="00466DE7"/>
    <w:rsid w:val="00467112"/>
    <w:rsid w:val="004671BE"/>
    <w:rsid w:val="0046726D"/>
    <w:rsid w:val="004672FE"/>
    <w:rsid w:val="004673DB"/>
    <w:rsid w:val="00467654"/>
    <w:rsid w:val="004676C4"/>
    <w:rsid w:val="00467851"/>
    <w:rsid w:val="004679C5"/>
    <w:rsid w:val="00467AA3"/>
    <w:rsid w:val="00467AC4"/>
    <w:rsid w:val="00467B3F"/>
    <w:rsid w:val="00467C2B"/>
    <w:rsid w:val="00467D53"/>
    <w:rsid w:val="00467EEF"/>
    <w:rsid w:val="00470227"/>
    <w:rsid w:val="004702BB"/>
    <w:rsid w:val="004703A6"/>
    <w:rsid w:val="004709E3"/>
    <w:rsid w:val="00470C4F"/>
    <w:rsid w:val="00470DB9"/>
    <w:rsid w:val="00470E70"/>
    <w:rsid w:val="00470FBE"/>
    <w:rsid w:val="004710E3"/>
    <w:rsid w:val="0047136D"/>
    <w:rsid w:val="00471486"/>
    <w:rsid w:val="00471686"/>
    <w:rsid w:val="00471708"/>
    <w:rsid w:val="00471801"/>
    <w:rsid w:val="004718C5"/>
    <w:rsid w:val="00471B07"/>
    <w:rsid w:val="004724CF"/>
    <w:rsid w:val="00472596"/>
    <w:rsid w:val="0047263D"/>
    <w:rsid w:val="00472665"/>
    <w:rsid w:val="00472785"/>
    <w:rsid w:val="00472875"/>
    <w:rsid w:val="00472AC9"/>
    <w:rsid w:val="00472C56"/>
    <w:rsid w:val="00472D64"/>
    <w:rsid w:val="00472E52"/>
    <w:rsid w:val="00473075"/>
    <w:rsid w:val="00473229"/>
    <w:rsid w:val="00473530"/>
    <w:rsid w:val="0047354C"/>
    <w:rsid w:val="00473A63"/>
    <w:rsid w:val="00473A90"/>
    <w:rsid w:val="00473B6F"/>
    <w:rsid w:val="00473B9D"/>
    <w:rsid w:val="00473BD3"/>
    <w:rsid w:val="00473C02"/>
    <w:rsid w:val="00473D4A"/>
    <w:rsid w:val="00473DF7"/>
    <w:rsid w:val="00473E02"/>
    <w:rsid w:val="00473E03"/>
    <w:rsid w:val="00474176"/>
    <w:rsid w:val="0047453B"/>
    <w:rsid w:val="00474554"/>
    <w:rsid w:val="00474660"/>
    <w:rsid w:val="00474782"/>
    <w:rsid w:val="004747D6"/>
    <w:rsid w:val="004748A5"/>
    <w:rsid w:val="00474A5B"/>
    <w:rsid w:val="00474B9D"/>
    <w:rsid w:val="00474CD7"/>
    <w:rsid w:val="004752BA"/>
    <w:rsid w:val="004753B4"/>
    <w:rsid w:val="0047543F"/>
    <w:rsid w:val="0047547D"/>
    <w:rsid w:val="0047551B"/>
    <w:rsid w:val="004757AE"/>
    <w:rsid w:val="00475864"/>
    <w:rsid w:val="00475C69"/>
    <w:rsid w:val="00475D16"/>
    <w:rsid w:val="00475D2C"/>
    <w:rsid w:val="00475D91"/>
    <w:rsid w:val="00475EB3"/>
    <w:rsid w:val="00475F70"/>
    <w:rsid w:val="00476110"/>
    <w:rsid w:val="00476126"/>
    <w:rsid w:val="004761AA"/>
    <w:rsid w:val="004761DA"/>
    <w:rsid w:val="004761F2"/>
    <w:rsid w:val="004762AC"/>
    <w:rsid w:val="0047652B"/>
    <w:rsid w:val="00476536"/>
    <w:rsid w:val="00476550"/>
    <w:rsid w:val="004766A7"/>
    <w:rsid w:val="0047681A"/>
    <w:rsid w:val="00476A12"/>
    <w:rsid w:val="00476F4D"/>
    <w:rsid w:val="0047704B"/>
    <w:rsid w:val="00477050"/>
    <w:rsid w:val="00477189"/>
    <w:rsid w:val="00477352"/>
    <w:rsid w:val="0047741A"/>
    <w:rsid w:val="00477576"/>
    <w:rsid w:val="00477597"/>
    <w:rsid w:val="00477897"/>
    <w:rsid w:val="004778E5"/>
    <w:rsid w:val="004778FB"/>
    <w:rsid w:val="00477BA9"/>
    <w:rsid w:val="00477BDC"/>
    <w:rsid w:val="00477D1A"/>
    <w:rsid w:val="00477D48"/>
    <w:rsid w:val="00477DEA"/>
    <w:rsid w:val="0048008D"/>
    <w:rsid w:val="004801E6"/>
    <w:rsid w:val="004802C4"/>
    <w:rsid w:val="00480339"/>
    <w:rsid w:val="00480395"/>
    <w:rsid w:val="004805BC"/>
    <w:rsid w:val="00480614"/>
    <w:rsid w:val="0048070A"/>
    <w:rsid w:val="00480888"/>
    <w:rsid w:val="004808FE"/>
    <w:rsid w:val="00480930"/>
    <w:rsid w:val="00480BD3"/>
    <w:rsid w:val="00480DB2"/>
    <w:rsid w:val="00480DC9"/>
    <w:rsid w:val="00480ED0"/>
    <w:rsid w:val="0048119D"/>
    <w:rsid w:val="00481387"/>
    <w:rsid w:val="004817A6"/>
    <w:rsid w:val="00481828"/>
    <w:rsid w:val="004818F8"/>
    <w:rsid w:val="0048198A"/>
    <w:rsid w:val="004819FD"/>
    <w:rsid w:val="00481AD2"/>
    <w:rsid w:val="00481B84"/>
    <w:rsid w:val="00481CB0"/>
    <w:rsid w:val="00481D26"/>
    <w:rsid w:val="00481EF4"/>
    <w:rsid w:val="00482408"/>
    <w:rsid w:val="0048258D"/>
    <w:rsid w:val="004827C2"/>
    <w:rsid w:val="00482DED"/>
    <w:rsid w:val="00482E54"/>
    <w:rsid w:val="00483073"/>
    <w:rsid w:val="0048348B"/>
    <w:rsid w:val="004834BC"/>
    <w:rsid w:val="004835C1"/>
    <w:rsid w:val="0048375C"/>
    <w:rsid w:val="00483D4F"/>
    <w:rsid w:val="00483FC1"/>
    <w:rsid w:val="00484357"/>
    <w:rsid w:val="0048474C"/>
    <w:rsid w:val="00484912"/>
    <w:rsid w:val="0048498E"/>
    <w:rsid w:val="00484A3E"/>
    <w:rsid w:val="00484B33"/>
    <w:rsid w:val="00484BD7"/>
    <w:rsid w:val="00484CE8"/>
    <w:rsid w:val="00484EAB"/>
    <w:rsid w:val="00484ECF"/>
    <w:rsid w:val="004855C3"/>
    <w:rsid w:val="004857F2"/>
    <w:rsid w:val="00485862"/>
    <w:rsid w:val="00485A1A"/>
    <w:rsid w:val="00485A70"/>
    <w:rsid w:val="00485B98"/>
    <w:rsid w:val="00485BB4"/>
    <w:rsid w:val="00485D4F"/>
    <w:rsid w:val="00485E83"/>
    <w:rsid w:val="00485E89"/>
    <w:rsid w:val="00486089"/>
    <w:rsid w:val="0048612B"/>
    <w:rsid w:val="00486198"/>
    <w:rsid w:val="0048631C"/>
    <w:rsid w:val="0048637E"/>
    <w:rsid w:val="004864E7"/>
    <w:rsid w:val="00486571"/>
    <w:rsid w:val="004866DB"/>
    <w:rsid w:val="0048674A"/>
    <w:rsid w:val="004869D9"/>
    <w:rsid w:val="00486B05"/>
    <w:rsid w:val="00486B5E"/>
    <w:rsid w:val="00486D56"/>
    <w:rsid w:val="004870FF"/>
    <w:rsid w:val="00487195"/>
    <w:rsid w:val="004874B1"/>
    <w:rsid w:val="004876E7"/>
    <w:rsid w:val="004877F6"/>
    <w:rsid w:val="00487975"/>
    <w:rsid w:val="00487BE2"/>
    <w:rsid w:val="00487C1E"/>
    <w:rsid w:val="00490045"/>
    <w:rsid w:val="00490363"/>
    <w:rsid w:val="004904D9"/>
    <w:rsid w:val="004906F8"/>
    <w:rsid w:val="00490733"/>
    <w:rsid w:val="00490828"/>
    <w:rsid w:val="004908CE"/>
    <w:rsid w:val="004909BA"/>
    <w:rsid w:val="00490B5F"/>
    <w:rsid w:val="00490B9C"/>
    <w:rsid w:val="00490C20"/>
    <w:rsid w:val="00490C4F"/>
    <w:rsid w:val="00490CB5"/>
    <w:rsid w:val="00490D92"/>
    <w:rsid w:val="00490F03"/>
    <w:rsid w:val="00491085"/>
    <w:rsid w:val="004910DB"/>
    <w:rsid w:val="0049110F"/>
    <w:rsid w:val="004911FE"/>
    <w:rsid w:val="004915B1"/>
    <w:rsid w:val="0049183C"/>
    <w:rsid w:val="00491C0A"/>
    <w:rsid w:val="00491CC7"/>
    <w:rsid w:val="00491E27"/>
    <w:rsid w:val="00492094"/>
    <w:rsid w:val="004923EC"/>
    <w:rsid w:val="004925AB"/>
    <w:rsid w:val="004927AD"/>
    <w:rsid w:val="00492CBA"/>
    <w:rsid w:val="0049303D"/>
    <w:rsid w:val="004931A3"/>
    <w:rsid w:val="00493449"/>
    <w:rsid w:val="004937D8"/>
    <w:rsid w:val="0049383B"/>
    <w:rsid w:val="00493CC4"/>
    <w:rsid w:val="0049495E"/>
    <w:rsid w:val="004949C5"/>
    <w:rsid w:val="00494C37"/>
    <w:rsid w:val="00494C97"/>
    <w:rsid w:val="00494ECC"/>
    <w:rsid w:val="00495012"/>
    <w:rsid w:val="00495117"/>
    <w:rsid w:val="00495711"/>
    <w:rsid w:val="00495805"/>
    <w:rsid w:val="004959BE"/>
    <w:rsid w:val="00495ADE"/>
    <w:rsid w:val="0049643F"/>
    <w:rsid w:val="00496540"/>
    <w:rsid w:val="00496657"/>
    <w:rsid w:val="004966DE"/>
    <w:rsid w:val="00496AF8"/>
    <w:rsid w:val="00496BAC"/>
    <w:rsid w:val="00497199"/>
    <w:rsid w:val="004971E2"/>
    <w:rsid w:val="00497311"/>
    <w:rsid w:val="00497515"/>
    <w:rsid w:val="00497612"/>
    <w:rsid w:val="004979FB"/>
    <w:rsid w:val="00497AB1"/>
    <w:rsid w:val="00497CAE"/>
    <w:rsid w:val="00497D76"/>
    <w:rsid w:val="00497EB0"/>
    <w:rsid w:val="004A0280"/>
    <w:rsid w:val="004A02F0"/>
    <w:rsid w:val="004A04B3"/>
    <w:rsid w:val="004A04BF"/>
    <w:rsid w:val="004A072A"/>
    <w:rsid w:val="004A076F"/>
    <w:rsid w:val="004A0A9C"/>
    <w:rsid w:val="004A0E92"/>
    <w:rsid w:val="004A0F60"/>
    <w:rsid w:val="004A0FD5"/>
    <w:rsid w:val="004A108E"/>
    <w:rsid w:val="004A1186"/>
    <w:rsid w:val="004A11C3"/>
    <w:rsid w:val="004A13A0"/>
    <w:rsid w:val="004A14A9"/>
    <w:rsid w:val="004A1500"/>
    <w:rsid w:val="004A16D6"/>
    <w:rsid w:val="004A1732"/>
    <w:rsid w:val="004A1783"/>
    <w:rsid w:val="004A178E"/>
    <w:rsid w:val="004A17B9"/>
    <w:rsid w:val="004A1EDB"/>
    <w:rsid w:val="004A2054"/>
    <w:rsid w:val="004A2438"/>
    <w:rsid w:val="004A27B3"/>
    <w:rsid w:val="004A2870"/>
    <w:rsid w:val="004A28FA"/>
    <w:rsid w:val="004A28FE"/>
    <w:rsid w:val="004A2ECD"/>
    <w:rsid w:val="004A2F9D"/>
    <w:rsid w:val="004A3028"/>
    <w:rsid w:val="004A3159"/>
    <w:rsid w:val="004A3338"/>
    <w:rsid w:val="004A33C7"/>
    <w:rsid w:val="004A3DB9"/>
    <w:rsid w:val="004A3EDD"/>
    <w:rsid w:val="004A4067"/>
    <w:rsid w:val="004A45BC"/>
    <w:rsid w:val="004A4632"/>
    <w:rsid w:val="004A46A8"/>
    <w:rsid w:val="004A47CD"/>
    <w:rsid w:val="004A47F4"/>
    <w:rsid w:val="004A4892"/>
    <w:rsid w:val="004A49AC"/>
    <w:rsid w:val="004A4B14"/>
    <w:rsid w:val="004A4D0B"/>
    <w:rsid w:val="004A4DD6"/>
    <w:rsid w:val="004A4E19"/>
    <w:rsid w:val="004A4E6A"/>
    <w:rsid w:val="004A51A2"/>
    <w:rsid w:val="004A51E5"/>
    <w:rsid w:val="004A51EB"/>
    <w:rsid w:val="004A5672"/>
    <w:rsid w:val="004A574D"/>
    <w:rsid w:val="004A5764"/>
    <w:rsid w:val="004A5829"/>
    <w:rsid w:val="004A5A1E"/>
    <w:rsid w:val="004A5C4E"/>
    <w:rsid w:val="004A5E77"/>
    <w:rsid w:val="004A614F"/>
    <w:rsid w:val="004A6458"/>
    <w:rsid w:val="004A6660"/>
    <w:rsid w:val="004A66B6"/>
    <w:rsid w:val="004A68CB"/>
    <w:rsid w:val="004A6985"/>
    <w:rsid w:val="004A6A8E"/>
    <w:rsid w:val="004A6ACC"/>
    <w:rsid w:val="004A6B1F"/>
    <w:rsid w:val="004A6D06"/>
    <w:rsid w:val="004A6DE5"/>
    <w:rsid w:val="004A6DEB"/>
    <w:rsid w:val="004A6FE7"/>
    <w:rsid w:val="004A71FD"/>
    <w:rsid w:val="004A7223"/>
    <w:rsid w:val="004A731A"/>
    <w:rsid w:val="004A7438"/>
    <w:rsid w:val="004A7512"/>
    <w:rsid w:val="004A766D"/>
    <w:rsid w:val="004A78B8"/>
    <w:rsid w:val="004A794F"/>
    <w:rsid w:val="004A795D"/>
    <w:rsid w:val="004A7A73"/>
    <w:rsid w:val="004A7A9A"/>
    <w:rsid w:val="004A7AEB"/>
    <w:rsid w:val="004A7F9E"/>
    <w:rsid w:val="004A7FDF"/>
    <w:rsid w:val="004B02D9"/>
    <w:rsid w:val="004B0345"/>
    <w:rsid w:val="004B0A1A"/>
    <w:rsid w:val="004B0A6E"/>
    <w:rsid w:val="004B0B2D"/>
    <w:rsid w:val="004B0B63"/>
    <w:rsid w:val="004B0C90"/>
    <w:rsid w:val="004B0D92"/>
    <w:rsid w:val="004B0F21"/>
    <w:rsid w:val="004B11DD"/>
    <w:rsid w:val="004B15FD"/>
    <w:rsid w:val="004B1B82"/>
    <w:rsid w:val="004B1EAA"/>
    <w:rsid w:val="004B1F08"/>
    <w:rsid w:val="004B21A0"/>
    <w:rsid w:val="004B22AA"/>
    <w:rsid w:val="004B257C"/>
    <w:rsid w:val="004B25C4"/>
    <w:rsid w:val="004B2DE4"/>
    <w:rsid w:val="004B30FF"/>
    <w:rsid w:val="004B311B"/>
    <w:rsid w:val="004B3253"/>
    <w:rsid w:val="004B32C9"/>
    <w:rsid w:val="004B34E6"/>
    <w:rsid w:val="004B350C"/>
    <w:rsid w:val="004B3881"/>
    <w:rsid w:val="004B39FA"/>
    <w:rsid w:val="004B3BDB"/>
    <w:rsid w:val="004B3EDE"/>
    <w:rsid w:val="004B3FD1"/>
    <w:rsid w:val="004B43E0"/>
    <w:rsid w:val="004B4452"/>
    <w:rsid w:val="004B47A9"/>
    <w:rsid w:val="004B4A0C"/>
    <w:rsid w:val="004B4A42"/>
    <w:rsid w:val="004B4AED"/>
    <w:rsid w:val="004B4B8D"/>
    <w:rsid w:val="004B4CA5"/>
    <w:rsid w:val="004B4DF3"/>
    <w:rsid w:val="004B516C"/>
    <w:rsid w:val="004B53E3"/>
    <w:rsid w:val="004B5890"/>
    <w:rsid w:val="004B5907"/>
    <w:rsid w:val="004B5A5E"/>
    <w:rsid w:val="004B5E31"/>
    <w:rsid w:val="004B5F79"/>
    <w:rsid w:val="004B60B5"/>
    <w:rsid w:val="004B624B"/>
    <w:rsid w:val="004B63E0"/>
    <w:rsid w:val="004B68F8"/>
    <w:rsid w:val="004B6AF2"/>
    <w:rsid w:val="004B71D6"/>
    <w:rsid w:val="004B72B6"/>
    <w:rsid w:val="004B736F"/>
    <w:rsid w:val="004B74AF"/>
    <w:rsid w:val="004B76BE"/>
    <w:rsid w:val="004B76D7"/>
    <w:rsid w:val="004B7803"/>
    <w:rsid w:val="004B7C7A"/>
    <w:rsid w:val="004B7D73"/>
    <w:rsid w:val="004B7DE1"/>
    <w:rsid w:val="004B7F45"/>
    <w:rsid w:val="004C06BB"/>
    <w:rsid w:val="004C06EF"/>
    <w:rsid w:val="004C0734"/>
    <w:rsid w:val="004C0CD4"/>
    <w:rsid w:val="004C0E65"/>
    <w:rsid w:val="004C130C"/>
    <w:rsid w:val="004C1354"/>
    <w:rsid w:val="004C1651"/>
    <w:rsid w:val="004C19B1"/>
    <w:rsid w:val="004C1B17"/>
    <w:rsid w:val="004C1B3D"/>
    <w:rsid w:val="004C1D4E"/>
    <w:rsid w:val="004C1DC8"/>
    <w:rsid w:val="004C2051"/>
    <w:rsid w:val="004C22EC"/>
    <w:rsid w:val="004C23B6"/>
    <w:rsid w:val="004C23E7"/>
    <w:rsid w:val="004C265B"/>
    <w:rsid w:val="004C2AB4"/>
    <w:rsid w:val="004C2D20"/>
    <w:rsid w:val="004C2F6F"/>
    <w:rsid w:val="004C326E"/>
    <w:rsid w:val="004C35E9"/>
    <w:rsid w:val="004C373A"/>
    <w:rsid w:val="004C3778"/>
    <w:rsid w:val="004C3836"/>
    <w:rsid w:val="004C39B0"/>
    <w:rsid w:val="004C39D3"/>
    <w:rsid w:val="004C3A0D"/>
    <w:rsid w:val="004C3AF4"/>
    <w:rsid w:val="004C3F47"/>
    <w:rsid w:val="004C3FD0"/>
    <w:rsid w:val="004C4372"/>
    <w:rsid w:val="004C45B7"/>
    <w:rsid w:val="004C45DE"/>
    <w:rsid w:val="004C4720"/>
    <w:rsid w:val="004C4786"/>
    <w:rsid w:val="004C4921"/>
    <w:rsid w:val="004C4E2C"/>
    <w:rsid w:val="004C519C"/>
    <w:rsid w:val="004C531A"/>
    <w:rsid w:val="004C56C9"/>
    <w:rsid w:val="004C57B5"/>
    <w:rsid w:val="004C58BB"/>
    <w:rsid w:val="004C58F7"/>
    <w:rsid w:val="004C5A47"/>
    <w:rsid w:val="004C5B66"/>
    <w:rsid w:val="004C5C16"/>
    <w:rsid w:val="004C5ED2"/>
    <w:rsid w:val="004C60CC"/>
    <w:rsid w:val="004C61FD"/>
    <w:rsid w:val="004C627B"/>
    <w:rsid w:val="004C647B"/>
    <w:rsid w:val="004C6616"/>
    <w:rsid w:val="004C6657"/>
    <w:rsid w:val="004C6776"/>
    <w:rsid w:val="004C678E"/>
    <w:rsid w:val="004C67B6"/>
    <w:rsid w:val="004C6A26"/>
    <w:rsid w:val="004C6AC1"/>
    <w:rsid w:val="004C6C67"/>
    <w:rsid w:val="004C6C74"/>
    <w:rsid w:val="004C6CBE"/>
    <w:rsid w:val="004C6DC9"/>
    <w:rsid w:val="004C6F9F"/>
    <w:rsid w:val="004C715C"/>
    <w:rsid w:val="004C734F"/>
    <w:rsid w:val="004C7734"/>
    <w:rsid w:val="004C7CDF"/>
    <w:rsid w:val="004D0059"/>
    <w:rsid w:val="004D00C1"/>
    <w:rsid w:val="004D0186"/>
    <w:rsid w:val="004D01D6"/>
    <w:rsid w:val="004D0367"/>
    <w:rsid w:val="004D0483"/>
    <w:rsid w:val="004D0577"/>
    <w:rsid w:val="004D05E9"/>
    <w:rsid w:val="004D098D"/>
    <w:rsid w:val="004D0AEB"/>
    <w:rsid w:val="004D0DB1"/>
    <w:rsid w:val="004D0EC0"/>
    <w:rsid w:val="004D0EF3"/>
    <w:rsid w:val="004D0F4D"/>
    <w:rsid w:val="004D133E"/>
    <w:rsid w:val="004D13ED"/>
    <w:rsid w:val="004D14BE"/>
    <w:rsid w:val="004D15EC"/>
    <w:rsid w:val="004D15FE"/>
    <w:rsid w:val="004D1BA5"/>
    <w:rsid w:val="004D1D5B"/>
    <w:rsid w:val="004D1F13"/>
    <w:rsid w:val="004D2025"/>
    <w:rsid w:val="004D2042"/>
    <w:rsid w:val="004D22F1"/>
    <w:rsid w:val="004D2880"/>
    <w:rsid w:val="004D2C76"/>
    <w:rsid w:val="004D2D10"/>
    <w:rsid w:val="004D3024"/>
    <w:rsid w:val="004D3148"/>
    <w:rsid w:val="004D35FF"/>
    <w:rsid w:val="004D36BE"/>
    <w:rsid w:val="004D3865"/>
    <w:rsid w:val="004D39F0"/>
    <w:rsid w:val="004D3F30"/>
    <w:rsid w:val="004D401D"/>
    <w:rsid w:val="004D46C9"/>
    <w:rsid w:val="004D4744"/>
    <w:rsid w:val="004D4A3D"/>
    <w:rsid w:val="004D4AAC"/>
    <w:rsid w:val="004D4E81"/>
    <w:rsid w:val="004D4E9B"/>
    <w:rsid w:val="004D4ED2"/>
    <w:rsid w:val="004D5240"/>
    <w:rsid w:val="004D5333"/>
    <w:rsid w:val="004D54B2"/>
    <w:rsid w:val="004D5A89"/>
    <w:rsid w:val="004D5B2C"/>
    <w:rsid w:val="004D5BBB"/>
    <w:rsid w:val="004D5C28"/>
    <w:rsid w:val="004D5D06"/>
    <w:rsid w:val="004D5F48"/>
    <w:rsid w:val="004D64F4"/>
    <w:rsid w:val="004D66AE"/>
    <w:rsid w:val="004D6A07"/>
    <w:rsid w:val="004D71A2"/>
    <w:rsid w:val="004D71C2"/>
    <w:rsid w:val="004D7362"/>
    <w:rsid w:val="004D7857"/>
    <w:rsid w:val="004D7A50"/>
    <w:rsid w:val="004D7E38"/>
    <w:rsid w:val="004D7EC6"/>
    <w:rsid w:val="004E01E8"/>
    <w:rsid w:val="004E04A9"/>
    <w:rsid w:val="004E07BD"/>
    <w:rsid w:val="004E0878"/>
    <w:rsid w:val="004E09F7"/>
    <w:rsid w:val="004E0CC4"/>
    <w:rsid w:val="004E0F76"/>
    <w:rsid w:val="004E1427"/>
    <w:rsid w:val="004E161A"/>
    <w:rsid w:val="004E1806"/>
    <w:rsid w:val="004E1A95"/>
    <w:rsid w:val="004E1AE3"/>
    <w:rsid w:val="004E1C52"/>
    <w:rsid w:val="004E1C63"/>
    <w:rsid w:val="004E1C87"/>
    <w:rsid w:val="004E1E7D"/>
    <w:rsid w:val="004E2006"/>
    <w:rsid w:val="004E2064"/>
    <w:rsid w:val="004E256E"/>
    <w:rsid w:val="004E2655"/>
    <w:rsid w:val="004E26DE"/>
    <w:rsid w:val="004E27A1"/>
    <w:rsid w:val="004E27CF"/>
    <w:rsid w:val="004E2921"/>
    <w:rsid w:val="004E29A1"/>
    <w:rsid w:val="004E2AD4"/>
    <w:rsid w:val="004E2DAD"/>
    <w:rsid w:val="004E2ECB"/>
    <w:rsid w:val="004E30E0"/>
    <w:rsid w:val="004E31F4"/>
    <w:rsid w:val="004E35CE"/>
    <w:rsid w:val="004E362D"/>
    <w:rsid w:val="004E3681"/>
    <w:rsid w:val="004E36CC"/>
    <w:rsid w:val="004E3793"/>
    <w:rsid w:val="004E3A76"/>
    <w:rsid w:val="004E3B73"/>
    <w:rsid w:val="004E3C94"/>
    <w:rsid w:val="004E45B0"/>
    <w:rsid w:val="004E49FF"/>
    <w:rsid w:val="004E4A4A"/>
    <w:rsid w:val="004E4A4C"/>
    <w:rsid w:val="004E4AB6"/>
    <w:rsid w:val="004E4B4E"/>
    <w:rsid w:val="004E4E75"/>
    <w:rsid w:val="004E4E91"/>
    <w:rsid w:val="004E52BA"/>
    <w:rsid w:val="004E568B"/>
    <w:rsid w:val="004E56C8"/>
    <w:rsid w:val="004E5733"/>
    <w:rsid w:val="004E5915"/>
    <w:rsid w:val="004E5953"/>
    <w:rsid w:val="004E59D9"/>
    <w:rsid w:val="004E5A52"/>
    <w:rsid w:val="004E5AB6"/>
    <w:rsid w:val="004E5BB0"/>
    <w:rsid w:val="004E5CAC"/>
    <w:rsid w:val="004E5D9E"/>
    <w:rsid w:val="004E5FD1"/>
    <w:rsid w:val="004E6010"/>
    <w:rsid w:val="004E60D7"/>
    <w:rsid w:val="004E60E2"/>
    <w:rsid w:val="004E6157"/>
    <w:rsid w:val="004E6221"/>
    <w:rsid w:val="004E64ED"/>
    <w:rsid w:val="004E677A"/>
    <w:rsid w:val="004E6999"/>
    <w:rsid w:val="004E6A7C"/>
    <w:rsid w:val="004E6B2B"/>
    <w:rsid w:val="004E6C54"/>
    <w:rsid w:val="004E6ED0"/>
    <w:rsid w:val="004E7635"/>
    <w:rsid w:val="004E7715"/>
    <w:rsid w:val="004E79A0"/>
    <w:rsid w:val="004E7D72"/>
    <w:rsid w:val="004F03F8"/>
    <w:rsid w:val="004F066B"/>
    <w:rsid w:val="004F074A"/>
    <w:rsid w:val="004F086D"/>
    <w:rsid w:val="004F0A6C"/>
    <w:rsid w:val="004F0A6D"/>
    <w:rsid w:val="004F0ACD"/>
    <w:rsid w:val="004F0AFD"/>
    <w:rsid w:val="004F0F41"/>
    <w:rsid w:val="004F1613"/>
    <w:rsid w:val="004F162D"/>
    <w:rsid w:val="004F1676"/>
    <w:rsid w:val="004F1BCC"/>
    <w:rsid w:val="004F1DF4"/>
    <w:rsid w:val="004F202B"/>
    <w:rsid w:val="004F203D"/>
    <w:rsid w:val="004F2299"/>
    <w:rsid w:val="004F24C1"/>
    <w:rsid w:val="004F2797"/>
    <w:rsid w:val="004F2906"/>
    <w:rsid w:val="004F2C50"/>
    <w:rsid w:val="004F2EF8"/>
    <w:rsid w:val="004F2FE4"/>
    <w:rsid w:val="004F3054"/>
    <w:rsid w:val="004F3180"/>
    <w:rsid w:val="004F3219"/>
    <w:rsid w:val="004F323F"/>
    <w:rsid w:val="004F32A3"/>
    <w:rsid w:val="004F3481"/>
    <w:rsid w:val="004F35D3"/>
    <w:rsid w:val="004F367F"/>
    <w:rsid w:val="004F3736"/>
    <w:rsid w:val="004F3796"/>
    <w:rsid w:val="004F37CF"/>
    <w:rsid w:val="004F383D"/>
    <w:rsid w:val="004F3BED"/>
    <w:rsid w:val="004F3E5A"/>
    <w:rsid w:val="004F3F8B"/>
    <w:rsid w:val="004F3FE1"/>
    <w:rsid w:val="004F421C"/>
    <w:rsid w:val="004F443D"/>
    <w:rsid w:val="004F4597"/>
    <w:rsid w:val="004F4661"/>
    <w:rsid w:val="004F4810"/>
    <w:rsid w:val="004F4A55"/>
    <w:rsid w:val="004F4B8C"/>
    <w:rsid w:val="004F4CD4"/>
    <w:rsid w:val="004F4D61"/>
    <w:rsid w:val="004F4EA7"/>
    <w:rsid w:val="004F4F03"/>
    <w:rsid w:val="004F4F2C"/>
    <w:rsid w:val="004F5334"/>
    <w:rsid w:val="004F559A"/>
    <w:rsid w:val="004F5745"/>
    <w:rsid w:val="004F5978"/>
    <w:rsid w:val="004F59F6"/>
    <w:rsid w:val="004F604A"/>
    <w:rsid w:val="004F607C"/>
    <w:rsid w:val="004F60E6"/>
    <w:rsid w:val="004F61AD"/>
    <w:rsid w:val="004F65B0"/>
    <w:rsid w:val="004F67B7"/>
    <w:rsid w:val="004F6859"/>
    <w:rsid w:val="004F696B"/>
    <w:rsid w:val="004F6C05"/>
    <w:rsid w:val="004F6C9A"/>
    <w:rsid w:val="004F6E11"/>
    <w:rsid w:val="004F705A"/>
    <w:rsid w:val="004F7246"/>
    <w:rsid w:val="004F782F"/>
    <w:rsid w:val="004F7851"/>
    <w:rsid w:val="004F78EB"/>
    <w:rsid w:val="004F7B8D"/>
    <w:rsid w:val="004F7C06"/>
    <w:rsid w:val="004F7FA2"/>
    <w:rsid w:val="005004B7"/>
    <w:rsid w:val="00500A50"/>
    <w:rsid w:val="00500EFE"/>
    <w:rsid w:val="00500FB9"/>
    <w:rsid w:val="0050116C"/>
    <w:rsid w:val="00501698"/>
    <w:rsid w:val="00501A8C"/>
    <w:rsid w:val="00501BC1"/>
    <w:rsid w:val="00501D19"/>
    <w:rsid w:val="00501EC4"/>
    <w:rsid w:val="00501F4D"/>
    <w:rsid w:val="00501F59"/>
    <w:rsid w:val="005025D5"/>
    <w:rsid w:val="00502692"/>
    <w:rsid w:val="005026EE"/>
    <w:rsid w:val="005027A2"/>
    <w:rsid w:val="00502A8A"/>
    <w:rsid w:val="00502E3B"/>
    <w:rsid w:val="00502EA6"/>
    <w:rsid w:val="00502EF5"/>
    <w:rsid w:val="00502FD6"/>
    <w:rsid w:val="00502FE5"/>
    <w:rsid w:val="00502FF6"/>
    <w:rsid w:val="00503139"/>
    <w:rsid w:val="005031C4"/>
    <w:rsid w:val="005032E2"/>
    <w:rsid w:val="0050336B"/>
    <w:rsid w:val="0050357F"/>
    <w:rsid w:val="00503824"/>
    <w:rsid w:val="00503B29"/>
    <w:rsid w:val="005040A5"/>
    <w:rsid w:val="00504328"/>
    <w:rsid w:val="005045EF"/>
    <w:rsid w:val="00504614"/>
    <w:rsid w:val="00504A14"/>
    <w:rsid w:val="00504BD3"/>
    <w:rsid w:val="00504CB5"/>
    <w:rsid w:val="00504F2B"/>
    <w:rsid w:val="00504F2D"/>
    <w:rsid w:val="0050514A"/>
    <w:rsid w:val="0050538B"/>
    <w:rsid w:val="0050549A"/>
    <w:rsid w:val="0050584E"/>
    <w:rsid w:val="00505864"/>
    <w:rsid w:val="00505A47"/>
    <w:rsid w:val="00505B6F"/>
    <w:rsid w:val="00505CA9"/>
    <w:rsid w:val="00505E22"/>
    <w:rsid w:val="0050631B"/>
    <w:rsid w:val="00506568"/>
    <w:rsid w:val="0050657F"/>
    <w:rsid w:val="005065EE"/>
    <w:rsid w:val="00506982"/>
    <w:rsid w:val="00506AE0"/>
    <w:rsid w:val="00506BDC"/>
    <w:rsid w:val="00506C98"/>
    <w:rsid w:val="00506DF6"/>
    <w:rsid w:val="00506FED"/>
    <w:rsid w:val="005073F7"/>
    <w:rsid w:val="00507495"/>
    <w:rsid w:val="00507625"/>
    <w:rsid w:val="005078CA"/>
    <w:rsid w:val="00507E6A"/>
    <w:rsid w:val="00507F7A"/>
    <w:rsid w:val="0051018D"/>
    <w:rsid w:val="00510349"/>
    <w:rsid w:val="00510A22"/>
    <w:rsid w:val="00510B47"/>
    <w:rsid w:val="00510D11"/>
    <w:rsid w:val="00510D9C"/>
    <w:rsid w:val="00510E5D"/>
    <w:rsid w:val="0051116F"/>
    <w:rsid w:val="0051143C"/>
    <w:rsid w:val="005117EC"/>
    <w:rsid w:val="00511B7A"/>
    <w:rsid w:val="00511BCD"/>
    <w:rsid w:val="00511C78"/>
    <w:rsid w:val="00511D24"/>
    <w:rsid w:val="00511D39"/>
    <w:rsid w:val="00511DEC"/>
    <w:rsid w:val="00512139"/>
    <w:rsid w:val="0051235F"/>
    <w:rsid w:val="00512558"/>
    <w:rsid w:val="00512561"/>
    <w:rsid w:val="0051268C"/>
    <w:rsid w:val="005127F1"/>
    <w:rsid w:val="0051280D"/>
    <w:rsid w:val="00512B32"/>
    <w:rsid w:val="00512CFD"/>
    <w:rsid w:val="00512EC0"/>
    <w:rsid w:val="00512FD1"/>
    <w:rsid w:val="0051300F"/>
    <w:rsid w:val="00513293"/>
    <w:rsid w:val="005133F9"/>
    <w:rsid w:val="00513413"/>
    <w:rsid w:val="005138E8"/>
    <w:rsid w:val="00513A44"/>
    <w:rsid w:val="00513B57"/>
    <w:rsid w:val="00513CC2"/>
    <w:rsid w:val="0051406A"/>
    <w:rsid w:val="00514443"/>
    <w:rsid w:val="00514529"/>
    <w:rsid w:val="005146B3"/>
    <w:rsid w:val="00514732"/>
    <w:rsid w:val="00514984"/>
    <w:rsid w:val="00514C5E"/>
    <w:rsid w:val="00514E2D"/>
    <w:rsid w:val="00515154"/>
    <w:rsid w:val="005153BA"/>
    <w:rsid w:val="0051556E"/>
    <w:rsid w:val="00515659"/>
    <w:rsid w:val="005157A4"/>
    <w:rsid w:val="00515B9E"/>
    <w:rsid w:val="00515CF7"/>
    <w:rsid w:val="00515DA1"/>
    <w:rsid w:val="00515F4E"/>
    <w:rsid w:val="00516171"/>
    <w:rsid w:val="00516487"/>
    <w:rsid w:val="005165A3"/>
    <w:rsid w:val="005165AA"/>
    <w:rsid w:val="005165EA"/>
    <w:rsid w:val="0051662B"/>
    <w:rsid w:val="0051676D"/>
    <w:rsid w:val="00516A44"/>
    <w:rsid w:val="00516B43"/>
    <w:rsid w:val="00516CA3"/>
    <w:rsid w:val="0051722D"/>
    <w:rsid w:val="00517271"/>
    <w:rsid w:val="0051739D"/>
    <w:rsid w:val="005175FC"/>
    <w:rsid w:val="005176E5"/>
    <w:rsid w:val="00517897"/>
    <w:rsid w:val="00517AC9"/>
    <w:rsid w:val="00517AD9"/>
    <w:rsid w:val="00517FCC"/>
    <w:rsid w:val="005200DD"/>
    <w:rsid w:val="0052018C"/>
    <w:rsid w:val="00520307"/>
    <w:rsid w:val="00520395"/>
    <w:rsid w:val="005204B7"/>
    <w:rsid w:val="005205AC"/>
    <w:rsid w:val="00520F4C"/>
    <w:rsid w:val="00520F76"/>
    <w:rsid w:val="00521215"/>
    <w:rsid w:val="00521595"/>
    <w:rsid w:val="005215CE"/>
    <w:rsid w:val="00521975"/>
    <w:rsid w:val="00521D98"/>
    <w:rsid w:val="00521E21"/>
    <w:rsid w:val="00521E39"/>
    <w:rsid w:val="00521E3D"/>
    <w:rsid w:val="00522342"/>
    <w:rsid w:val="00522500"/>
    <w:rsid w:val="00522560"/>
    <w:rsid w:val="00522A0E"/>
    <w:rsid w:val="00522D47"/>
    <w:rsid w:val="00522E53"/>
    <w:rsid w:val="00522F51"/>
    <w:rsid w:val="00523336"/>
    <w:rsid w:val="00523852"/>
    <w:rsid w:val="00523863"/>
    <w:rsid w:val="00523A94"/>
    <w:rsid w:val="00523A98"/>
    <w:rsid w:val="00523F12"/>
    <w:rsid w:val="00523F4D"/>
    <w:rsid w:val="0052423A"/>
    <w:rsid w:val="00524245"/>
    <w:rsid w:val="00524299"/>
    <w:rsid w:val="005242A6"/>
    <w:rsid w:val="00524666"/>
    <w:rsid w:val="00524A08"/>
    <w:rsid w:val="00524CC3"/>
    <w:rsid w:val="00524CE3"/>
    <w:rsid w:val="0052508C"/>
    <w:rsid w:val="005250B5"/>
    <w:rsid w:val="0052514E"/>
    <w:rsid w:val="0052538B"/>
    <w:rsid w:val="005253E3"/>
    <w:rsid w:val="0052545A"/>
    <w:rsid w:val="0052561D"/>
    <w:rsid w:val="00525686"/>
    <w:rsid w:val="005256AC"/>
    <w:rsid w:val="0052573B"/>
    <w:rsid w:val="0052581D"/>
    <w:rsid w:val="00525991"/>
    <w:rsid w:val="00525A1A"/>
    <w:rsid w:val="00525A64"/>
    <w:rsid w:val="00525C42"/>
    <w:rsid w:val="00525D3D"/>
    <w:rsid w:val="00525DA6"/>
    <w:rsid w:val="00526187"/>
    <w:rsid w:val="005264E7"/>
    <w:rsid w:val="005268F7"/>
    <w:rsid w:val="00526ABC"/>
    <w:rsid w:val="00526C68"/>
    <w:rsid w:val="00526FE1"/>
    <w:rsid w:val="00527190"/>
    <w:rsid w:val="005271C9"/>
    <w:rsid w:val="005273C1"/>
    <w:rsid w:val="00527428"/>
    <w:rsid w:val="00527901"/>
    <w:rsid w:val="00527CCE"/>
    <w:rsid w:val="00527D48"/>
    <w:rsid w:val="00527E90"/>
    <w:rsid w:val="005300B7"/>
    <w:rsid w:val="00530340"/>
    <w:rsid w:val="005303ED"/>
    <w:rsid w:val="005304E5"/>
    <w:rsid w:val="00530C5C"/>
    <w:rsid w:val="00530D93"/>
    <w:rsid w:val="00530E18"/>
    <w:rsid w:val="005310EB"/>
    <w:rsid w:val="00531142"/>
    <w:rsid w:val="0053115D"/>
    <w:rsid w:val="00531415"/>
    <w:rsid w:val="00531590"/>
    <w:rsid w:val="005318F4"/>
    <w:rsid w:val="00531A08"/>
    <w:rsid w:val="00531B13"/>
    <w:rsid w:val="00531E81"/>
    <w:rsid w:val="00531EEB"/>
    <w:rsid w:val="00532092"/>
    <w:rsid w:val="00532251"/>
    <w:rsid w:val="00532288"/>
    <w:rsid w:val="005323E8"/>
    <w:rsid w:val="0053288F"/>
    <w:rsid w:val="005328A5"/>
    <w:rsid w:val="00532B63"/>
    <w:rsid w:val="00532D10"/>
    <w:rsid w:val="00532D6D"/>
    <w:rsid w:val="00532E46"/>
    <w:rsid w:val="00533156"/>
    <w:rsid w:val="0053391D"/>
    <w:rsid w:val="00533A45"/>
    <w:rsid w:val="00533F4F"/>
    <w:rsid w:val="00534035"/>
    <w:rsid w:val="005344A6"/>
    <w:rsid w:val="005344B6"/>
    <w:rsid w:val="005346D5"/>
    <w:rsid w:val="0053478D"/>
    <w:rsid w:val="00534814"/>
    <w:rsid w:val="0053483D"/>
    <w:rsid w:val="005348FA"/>
    <w:rsid w:val="00534A6B"/>
    <w:rsid w:val="00534AEA"/>
    <w:rsid w:val="00534C16"/>
    <w:rsid w:val="00535274"/>
    <w:rsid w:val="00535291"/>
    <w:rsid w:val="00535826"/>
    <w:rsid w:val="0053604C"/>
    <w:rsid w:val="005360B8"/>
    <w:rsid w:val="005360E8"/>
    <w:rsid w:val="005360F3"/>
    <w:rsid w:val="00536144"/>
    <w:rsid w:val="005361DA"/>
    <w:rsid w:val="00536393"/>
    <w:rsid w:val="005365BA"/>
    <w:rsid w:val="00536667"/>
    <w:rsid w:val="005369FB"/>
    <w:rsid w:val="00536CC1"/>
    <w:rsid w:val="00536E8C"/>
    <w:rsid w:val="0053707C"/>
    <w:rsid w:val="005370EC"/>
    <w:rsid w:val="00537164"/>
    <w:rsid w:val="0053718D"/>
    <w:rsid w:val="005371C9"/>
    <w:rsid w:val="00537553"/>
    <w:rsid w:val="0053783A"/>
    <w:rsid w:val="005378B7"/>
    <w:rsid w:val="0053792C"/>
    <w:rsid w:val="005379B9"/>
    <w:rsid w:val="005379CE"/>
    <w:rsid w:val="00537E31"/>
    <w:rsid w:val="0054009D"/>
    <w:rsid w:val="0054012C"/>
    <w:rsid w:val="005405A7"/>
    <w:rsid w:val="00540B9E"/>
    <w:rsid w:val="00540BE8"/>
    <w:rsid w:val="00540D33"/>
    <w:rsid w:val="00540E3D"/>
    <w:rsid w:val="00541084"/>
    <w:rsid w:val="005412E0"/>
    <w:rsid w:val="0054151D"/>
    <w:rsid w:val="005415E1"/>
    <w:rsid w:val="00541797"/>
    <w:rsid w:val="00541A6D"/>
    <w:rsid w:val="00541A80"/>
    <w:rsid w:val="00541B29"/>
    <w:rsid w:val="00541C59"/>
    <w:rsid w:val="00541D8B"/>
    <w:rsid w:val="00541DF5"/>
    <w:rsid w:val="00541F6B"/>
    <w:rsid w:val="00541FFE"/>
    <w:rsid w:val="00542159"/>
    <w:rsid w:val="005422C1"/>
    <w:rsid w:val="0054232C"/>
    <w:rsid w:val="0054247D"/>
    <w:rsid w:val="00542B0E"/>
    <w:rsid w:val="00542EFF"/>
    <w:rsid w:val="005431B9"/>
    <w:rsid w:val="005434A4"/>
    <w:rsid w:val="00543612"/>
    <w:rsid w:val="0054388F"/>
    <w:rsid w:val="005438A8"/>
    <w:rsid w:val="0054393C"/>
    <w:rsid w:val="00543AB5"/>
    <w:rsid w:val="00543C89"/>
    <w:rsid w:val="00544170"/>
    <w:rsid w:val="00544260"/>
    <w:rsid w:val="00544310"/>
    <w:rsid w:val="00544366"/>
    <w:rsid w:val="005443CA"/>
    <w:rsid w:val="00544454"/>
    <w:rsid w:val="0054449F"/>
    <w:rsid w:val="00544974"/>
    <w:rsid w:val="0054499F"/>
    <w:rsid w:val="00544BFF"/>
    <w:rsid w:val="00544C1E"/>
    <w:rsid w:val="00544C2C"/>
    <w:rsid w:val="00544D12"/>
    <w:rsid w:val="00544E53"/>
    <w:rsid w:val="00545044"/>
    <w:rsid w:val="0054570E"/>
    <w:rsid w:val="0054578D"/>
    <w:rsid w:val="00545A35"/>
    <w:rsid w:val="00545E1D"/>
    <w:rsid w:val="005461D8"/>
    <w:rsid w:val="00546236"/>
    <w:rsid w:val="005462DB"/>
    <w:rsid w:val="0054632F"/>
    <w:rsid w:val="005464F1"/>
    <w:rsid w:val="00546891"/>
    <w:rsid w:val="00546B6D"/>
    <w:rsid w:val="00546F66"/>
    <w:rsid w:val="0054700C"/>
    <w:rsid w:val="005473A6"/>
    <w:rsid w:val="005473D3"/>
    <w:rsid w:val="00547578"/>
    <w:rsid w:val="0054757C"/>
    <w:rsid w:val="00547817"/>
    <w:rsid w:val="0054784C"/>
    <w:rsid w:val="00547870"/>
    <w:rsid w:val="0054789D"/>
    <w:rsid w:val="00547A3A"/>
    <w:rsid w:val="00547B09"/>
    <w:rsid w:val="00547CC3"/>
    <w:rsid w:val="00547EEF"/>
    <w:rsid w:val="00547F2C"/>
    <w:rsid w:val="00550184"/>
    <w:rsid w:val="00550231"/>
    <w:rsid w:val="00550663"/>
    <w:rsid w:val="00550679"/>
    <w:rsid w:val="005506AB"/>
    <w:rsid w:val="00550754"/>
    <w:rsid w:val="005507DD"/>
    <w:rsid w:val="00550A4E"/>
    <w:rsid w:val="00550AB9"/>
    <w:rsid w:val="00550B9A"/>
    <w:rsid w:val="00550CC5"/>
    <w:rsid w:val="00550DBE"/>
    <w:rsid w:val="00550DF7"/>
    <w:rsid w:val="005515BF"/>
    <w:rsid w:val="005517DB"/>
    <w:rsid w:val="005518B8"/>
    <w:rsid w:val="00551908"/>
    <w:rsid w:val="00551B92"/>
    <w:rsid w:val="00551CAC"/>
    <w:rsid w:val="00551E0A"/>
    <w:rsid w:val="00552155"/>
    <w:rsid w:val="0055237F"/>
    <w:rsid w:val="00552A3F"/>
    <w:rsid w:val="00552A64"/>
    <w:rsid w:val="00552D1B"/>
    <w:rsid w:val="00552D8C"/>
    <w:rsid w:val="00552F31"/>
    <w:rsid w:val="00552FB2"/>
    <w:rsid w:val="00553150"/>
    <w:rsid w:val="005532B6"/>
    <w:rsid w:val="00553556"/>
    <w:rsid w:val="0055367E"/>
    <w:rsid w:val="005536DC"/>
    <w:rsid w:val="005537D2"/>
    <w:rsid w:val="00553858"/>
    <w:rsid w:val="0055405A"/>
    <w:rsid w:val="005540D0"/>
    <w:rsid w:val="00554100"/>
    <w:rsid w:val="0055492B"/>
    <w:rsid w:val="005549E6"/>
    <w:rsid w:val="00554B8A"/>
    <w:rsid w:val="005550A9"/>
    <w:rsid w:val="0055516C"/>
    <w:rsid w:val="005551C3"/>
    <w:rsid w:val="00555492"/>
    <w:rsid w:val="00555497"/>
    <w:rsid w:val="005557F3"/>
    <w:rsid w:val="00555890"/>
    <w:rsid w:val="00555979"/>
    <w:rsid w:val="00555BFE"/>
    <w:rsid w:val="00555D57"/>
    <w:rsid w:val="00555E0A"/>
    <w:rsid w:val="00555F54"/>
    <w:rsid w:val="00556026"/>
    <w:rsid w:val="00556217"/>
    <w:rsid w:val="00556459"/>
    <w:rsid w:val="005564AD"/>
    <w:rsid w:val="0055689C"/>
    <w:rsid w:val="00556AC7"/>
    <w:rsid w:val="00556B57"/>
    <w:rsid w:val="00556D98"/>
    <w:rsid w:val="005570E6"/>
    <w:rsid w:val="00557328"/>
    <w:rsid w:val="005573D7"/>
    <w:rsid w:val="005574DB"/>
    <w:rsid w:val="00557816"/>
    <w:rsid w:val="00557B32"/>
    <w:rsid w:val="00557B72"/>
    <w:rsid w:val="00557C62"/>
    <w:rsid w:val="00557CF4"/>
    <w:rsid w:val="00557E1A"/>
    <w:rsid w:val="00557E3B"/>
    <w:rsid w:val="00557F09"/>
    <w:rsid w:val="005601F7"/>
    <w:rsid w:val="005602AB"/>
    <w:rsid w:val="00560410"/>
    <w:rsid w:val="00560659"/>
    <w:rsid w:val="0056076F"/>
    <w:rsid w:val="00560877"/>
    <w:rsid w:val="00560949"/>
    <w:rsid w:val="00560B67"/>
    <w:rsid w:val="00560F65"/>
    <w:rsid w:val="0056101F"/>
    <w:rsid w:val="0056106F"/>
    <w:rsid w:val="005611BF"/>
    <w:rsid w:val="005611F5"/>
    <w:rsid w:val="00561354"/>
    <w:rsid w:val="00561371"/>
    <w:rsid w:val="005614F0"/>
    <w:rsid w:val="005617C3"/>
    <w:rsid w:val="00561EF3"/>
    <w:rsid w:val="00562071"/>
    <w:rsid w:val="005620DC"/>
    <w:rsid w:val="00562266"/>
    <w:rsid w:val="005622EE"/>
    <w:rsid w:val="0056241B"/>
    <w:rsid w:val="005629CA"/>
    <w:rsid w:val="00562A24"/>
    <w:rsid w:val="00562C72"/>
    <w:rsid w:val="00562DD5"/>
    <w:rsid w:val="005632B8"/>
    <w:rsid w:val="005632E1"/>
    <w:rsid w:val="0056335D"/>
    <w:rsid w:val="005634B6"/>
    <w:rsid w:val="0056364C"/>
    <w:rsid w:val="00563650"/>
    <w:rsid w:val="0056370C"/>
    <w:rsid w:val="0056374F"/>
    <w:rsid w:val="00563880"/>
    <w:rsid w:val="005638C9"/>
    <w:rsid w:val="00563B5E"/>
    <w:rsid w:val="00563B9A"/>
    <w:rsid w:val="00564294"/>
    <w:rsid w:val="00564320"/>
    <w:rsid w:val="00564545"/>
    <w:rsid w:val="005646D6"/>
    <w:rsid w:val="005648B0"/>
    <w:rsid w:val="00564953"/>
    <w:rsid w:val="0056499A"/>
    <w:rsid w:val="00564D1C"/>
    <w:rsid w:val="00564D8F"/>
    <w:rsid w:val="00564EA1"/>
    <w:rsid w:val="005653B0"/>
    <w:rsid w:val="00565592"/>
    <w:rsid w:val="00565679"/>
    <w:rsid w:val="00565CFD"/>
    <w:rsid w:val="00565D27"/>
    <w:rsid w:val="005664D6"/>
    <w:rsid w:val="00566533"/>
    <w:rsid w:val="00566A1D"/>
    <w:rsid w:val="00566A85"/>
    <w:rsid w:val="00566C41"/>
    <w:rsid w:val="00566D2F"/>
    <w:rsid w:val="00566D4F"/>
    <w:rsid w:val="00566E2D"/>
    <w:rsid w:val="00566ED4"/>
    <w:rsid w:val="00566F8E"/>
    <w:rsid w:val="0056741A"/>
    <w:rsid w:val="00567442"/>
    <w:rsid w:val="00567515"/>
    <w:rsid w:val="00567688"/>
    <w:rsid w:val="0056777E"/>
    <w:rsid w:val="00567B63"/>
    <w:rsid w:val="00567EF8"/>
    <w:rsid w:val="00570023"/>
    <w:rsid w:val="00570126"/>
    <w:rsid w:val="00570537"/>
    <w:rsid w:val="00570755"/>
    <w:rsid w:val="005708C1"/>
    <w:rsid w:val="00570DFD"/>
    <w:rsid w:val="00570E32"/>
    <w:rsid w:val="00570FCE"/>
    <w:rsid w:val="005710C5"/>
    <w:rsid w:val="00571226"/>
    <w:rsid w:val="0057131E"/>
    <w:rsid w:val="00571471"/>
    <w:rsid w:val="005718E4"/>
    <w:rsid w:val="005719F0"/>
    <w:rsid w:val="00571A5A"/>
    <w:rsid w:val="00571C0D"/>
    <w:rsid w:val="00571C6F"/>
    <w:rsid w:val="005722C7"/>
    <w:rsid w:val="005723D9"/>
    <w:rsid w:val="00572464"/>
    <w:rsid w:val="005725F7"/>
    <w:rsid w:val="00572942"/>
    <w:rsid w:val="00572A30"/>
    <w:rsid w:val="00572B06"/>
    <w:rsid w:val="00572B52"/>
    <w:rsid w:val="00572B5D"/>
    <w:rsid w:val="00572E30"/>
    <w:rsid w:val="00572E5D"/>
    <w:rsid w:val="005731D5"/>
    <w:rsid w:val="0057342E"/>
    <w:rsid w:val="0057368E"/>
    <w:rsid w:val="005738E9"/>
    <w:rsid w:val="00573928"/>
    <w:rsid w:val="00573A2C"/>
    <w:rsid w:val="005741ED"/>
    <w:rsid w:val="005742FA"/>
    <w:rsid w:val="00574437"/>
    <w:rsid w:val="005746CF"/>
    <w:rsid w:val="005746E0"/>
    <w:rsid w:val="00574D21"/>
    <w:rsid w:val="00574D31"/>
    <w:rsid w:val="00574F86"/>
    <w:rsid w:val="00574F8B"/>
    <w:rsid w:val="00574F92"/>
    <w:rsid w:val="00574FD1"/>
    <w:rsid w:val="005750DF"/>
    <w:rsid w:val="0057531A"/>
    <w:rsid w:val="00575526"/>
    <w:rsid w:val="0057564C"/>
    <w:rsid w:val="00575B24"/>
    <w:rsid w:val="00575DAA"/>
    <w:rsid w:val="00576004"/>
    <w:rsid w:val="005761F7"/>
    <w:rsid w:val="00576236"/>
    <w:rsid w:val="005765F5"/>
    <w:rsid w:val="0057673D"/>
    <w:rsid w:val="00576945"/>
    <w:rsid w:val="00576DAE"/>
    <w:rsid w:val="00577000"/>
    <w:rsid w:val="005774C7"/>
    <w:rsid w:val="00577642"/>
    <w:rsid w:val="005778A3"/>
    <w:rsid w:val="00577923"/>
    <w:rsid w:val="00577AAB"/>
    <w:rsid w:val="00577AF4"/>
    <w:rsid w:val="00577CE8"/>
    <w:rsid w:val="00577F93"/>
    <w:rsid w:val="0058027D"/>
    <w:rsid w:val="0058062E"/>
    <w:rsid w:val="005806E6"/>
    <w:rsid w:val="005808C2"/>
    <w:rsid w:val="00580A9C"/>
    <w:rsid w:val="00580CD4"/>
    <w:rsid w:val="00581486"/>
    <w:rsid w:val="005819AE"/>
    <w:rsid w:val="00581A83"/>
    <w:rsid w:val="00581E01"/>
    <w:rsid w:val="00581E11"/>
    <w:rsid w:val="005821F5"/>
    <w:rsid w:val="005822C1"/>
    <w:rsid w:val="0058243C"/>
    <w:rsid w:val="00582461"/>
    <w:rsid w:val="005825D7"/>
    <w:rsid w:val="00582C20"/>
    <w:rsid w:val="00582DBD"/>
    <w:rsid w:val="00582EE3"/>
    <w:rsid w:val="00583094"/>
    <w:rsid w:val="0058323C"/>
    <w:rsid w:val="005833E0"/>
    <w:rsid w:val="00583537"/>
    <w:rsid w:val="00583559"/>
    <w:rsid w:val="005836FD"/>
    <w:rsid w:val="0058385D"/>
    <w:rsid w:val="00583902"/>
    <w:rsid w:val="00583938"/>
    <w:rsid w:val="00583972"/>
    <w:rsid w:val="00583B6C"/>
    <w:rsid w:val="00583F7A"/>
    <w:rsid w:val="00583F82"/>
    <w:rsid w:val="00584101"/>
    <w:rsid w:val="0058412C"/>
    <w:rsid w:val="00584286"/>
    <w:rsid w:val="0058428B"/>
    <w:rsid w:val="005842FA"/>
    <w:rsid w:val="00584324"/>
    <w:rsid w:val="005847EE"/>
    <w:rsid w:val="00584B39"/>
    <w:rsid w:val="00584B4A"/>
    <w:rsid w:val="00584E8C"/>
    <w:rsid w:val="00584F11"/>
    <w:rsid w:val="00584FE4"/>
    <w:rsid w:val="00585236"/>
    <w:rsid w:val="005852E7"/>
    <w:rsid w:val="00585344"/>
    <w:rsid w:val="005853AC"/>
    <w:rsid w:val="00585976"/>
    <w:rsid w:val="00585980"/>
    <w:rsid w:val="00585C70"/>
    <w:rsid w:val="00585F33"/>
    <w:rsid w:val="00585F46"/>
    <w:rsid w:val="00586113"/>
    <w:rsid w:val="00586266"/>
    <w:rsid w:val="0058659E"/>
    <w:rsid w:val="005866D4"/>
    <w:rsid w:val="0058685E"/>
    <w:rsid w:val="00586DAB"/>
    <w:rsid w:val="00586FAA"/>
    <w:rsid w:val="00586FAF"/>
    <w:rsid w:val="005872D8"/>
    <w:rsid w:val="00587462"/>
    <w:rsid w:val="005874C8"/>
    <w:rsid w:val="0058771A"/>
    <w:rsid w:val="005877FD"/>
    <w:rsid w:val="0058784F"/>
    <w:rsid w:val="0058799B"/>
    <w:rsid w:val="00587A87"/>
    <w:rsid w:val="00587AFB"/>
    <w:rsid w:val="00590067"/>
    <w:rsid w:val="005900C6"/>
    <w:rsid w:val="00590200"/>
    <w:rsid w:val="005902C6"/>
    <w:rsid w:val="0059052E"/>
    <w:rsid w:val="00590566"/>
    <w:rsid w:val="0059061B"/>
    <w:rsid w:val="00590ACD"/>
    <w:rsid w:val="00590AFA"/>
    <w:rsid w:val="00590CB5"/>
    <w:rsid w:val="00590E01"/>
    <w:rsid w:val="00590ED5"/>
    <w:rsid w:val="00590F6C"/>
    <w:rsid w:val="005912D0"/>
    <w:rsid w:val="005914FB"/>
    <w:rsid w:val="00591918"/>
    <w:rsid w:val="00591A04"/>
    <w:rsid w:val="00591AE5"/>
    <w:rsid w:val="00591B0E"/>
    <w:rsid w:val="00591B15"/>
    <w:rsid w:val="00591B5E"/>
    <w:rsid w:val="00591E71"/>
    <w:rsid w:val="00592025"/>
    <w:rsid w:val="00592091"/>
    <w:rsid w:val="005924B0"/>
    <w:rsid w:val="00592628"/>
    <w:rsid w:val="00592A21"/>
    <w:rsid w:val="00592B4E"/>
    <w:rsid w:val="00592DB2"/>
    <w:rsid w:val="00592E0D"/>
    <w:rsid w:val="00592EC9"/>
    <w:rsid w:val="00592F33"/>
    <w:rsid w:val="00592F69"/>
    <w:rsid w:val="00592FCB"/>
    <w:rsid w:val="00593076"/>
    <w:rsid w:val="005931B8"/>
    <w:rsid w:val="00593A20"/>
    <w:rsid w:val="00593A9B"/>
    <w:rsid w:val="00593DED"/>
    <w:rsid w:val="00593E21"/>
    <w:rsid w:val="00593F29"/>
    <w:rsid w:val="005940DA"/>
    <w:rsid w:val="00594279"/>
    <w:rsid w:val="005943AA"/>
    <w:rsid w:val="005944C6"/>
    <w:rsid w:val="00594665"/>
    <w:rsid w:val="005946D6"/>
    <w:rsid w:val="005946F8"/>
    <w:rsid w:val="00594919"/>
    <w:rsid w:val="00594AE7"/>
    <w:rsid w:val="00594CBD"/>
    <w:rsid w:val="00594D73"/>
    <w:rsid w:val="00594E4A"/>
    <w:rsid w:val="00594EEC"/>
    <w:rsid w:val="00594FC6"/>
    <w:rsid w:val="0059507E"/>
    <w:rsid w:val="005951D1"/>
    <w:rsid w:val="005955A9"/>
    <w:rsid w:val="00595670"/>
    <w:rsid w:val="0059595B"/>
    <w:rsid w:val="00595A62"/>
    <w:rsid w:val="00595C2C"/>
    <w:rsid w:val="00595CD6"/>
    <w:rsid w:val="00595FDD"/>
    <w:rsid w:val="00595FDE"/>
    <w:rsid w:val="0059605E"/>
    <w:rsid w:val="005961B3"/>
    <w:rsid w:val="00596396"/>
    <w:rsid w:val="005964C9"/>
    <w:rsid w:val="00596582"/>
    <w:rsid w:val="0059685F"/>
    <w:rsid w:val="00596879"/>
    <w:rsid w:val="00596C0C"/>
    <w:rsid w:val="00596CCA"/>
    <w:rsid w:val="00596CCC"/>
    <w:rsid w:val="00596DDF"/>
    <w:rsid w:val="00596EE2"/>
    <w:rsid w:val="00596F5D"/>
    <w:rsid w:val="005971DA"/>
    <w:rsid w:val="0059747F"/>
    <w:rsid w:val="005975DC"/>
    <w:rsid w:val="00597792"/>
    <w:rsid w:val="0059780B"/>
    <w:rsid w:val="00597886"/>
    <w:rsid w:val="00597C59"/>
    <w:rsid w:val="00597CA5"/>
    <w:rsid w:val="00597D14"/>
    <w:rsid w:val="005A0741"/>
    <w:rsid w:val="005A096B"/>
    <w:rsid w:val="005A0B8D"/>
    <w:rsid w:val="005A0FE7"/>
    <w:rsid w:val="005A105C"/>
    <w:rsid w:val="005A10E8"/>
    <w:rsid w:val="005A1182"/>
    <w:rsid w:val="005A11A2"/>
    <w:rsid w:val="005A13D0"/>
    <w:rsid w:val="005A144F"/>
    <w:rsid w:val="005A180C"/>
    <w:rsid w:val="005A1A63"/>
    <w:rsid w:val="005A1A87"/>
    <w:rsid w:val="005A1B68"/>
    <w:rsid w:val="005A22A6"/>
    <w:rsid w:val="005A2498"/>
    <w:rsid w:val="005A2639"/>
    <w:rsid w:val="005A26E5"/>
    <w:rsid w:val="005A2AF1"/>
    <w:rsid w:val="005A2B1E"/>
    <w:rsid w:val="005A2C28"/>
    <w:rsid w:val="005A2D5F"/>
    <w:rsid w:val="005A2DD4"/>
    <w:rsid w:val="005A2EAA"/>
    <w:rsid w:val="005A30DA"/>
    <w:rsid w:val="005A3174"/>
    <w:rsid w:val="005A32BC"/>
    <w:rsid w:val="005A370E"/>
    <w:rsid w:val="005A37A3"/>
    <w:rsid w:val="005A37AA"/>
    <w:rsid w:val="005A38B8"/>
    <w:rsid w:val="005A3A98"/>
    <w:rsid w:val="005A3B2E"/>
    <w:rsid w:val="005A3CB2"/>
    <w:rsid w:val="005A3D22"/>
    <w:rsid w:val="005A3E8E"/>
    <w:rsid w:val="005A4056"/>
    <w:rsid w:val="005A4308"/>
    <w:rsid w:val="005A4658"/>
    <w:rsid w:val="005A4660"/>
    <w:rsid w:val="005A4836"/>
    <w:rsid w:val="005A4878"/>
    <w:rsid w:val="005A493C"/>
    <w:rsid w:val="005A49AC"/>
    <w:rsid w:val="005A49BC"/>
    <w:rsid w:val="005A4B59"/>
    <w:rsid w:val="005A4E69"/>
    <w:rsid w:val="005A5023"/>
    <w:rsid w:val="005A519F"/>
    <w:rsid w:val="005A5339"/>
    <w:rsid w:val="005A547C"/>
    <w:rsid w:val="005A5688"/>
    <w:rsid w:val="005A570F"/>
    <w:rsid w:val="005A577A"/>
    <w:rsid w:val="005A5832"/>
    <w:rsid w:val="005A588B"/>
    <w:rsid w:val="005A58CB"/>
    <w:rsid w:val="005A5AEF"/>
    <w:rsid w:val="005A5C79"/>
    <w:rsid w:val="005A5F52"/>
    <w:rsid w:val="005A62F1"/>
    <w:rsid w:val="005A66D4"/>
    <w:rsid w:val="005A6788"/>
    <w:rsid w:val="005A6932"/>
    <w:rsid w:val="005A6A8D"/>
    <w:rsid w:val="005A6BB5"/>
    <w:rsid w:val="005A6CF5"/>
    <w:rsid w:val="005A6CFE"/>
    <w:rsid w:val="005A6D84"/>
    <w:rsid w:val="005A6E50"/>
    <w:rsid w:val="005A6F98"/>
    <w:rsid w:val="005A73BE"/>
    <w:rsid w:val="005A754B"/>
    <w:rsid w:val="005A75D5"/>
    <w:rsid w:val="005A76D7"/>
    <w:rsid w:val="005A77E0"/>
    <w:rsid w:val="005A77EB"/>
    <w:rsid w:val="005A782B"/>
    <w:rsid w:val="005A7998"/>
    <w:rsid w:val="005A7A67"/>
    <w:rsid w:val="005B0019"/>
    <w:rsid w:val="005B014D"/>
    <w:rsid w:val="005B015D"/>
    <w:rsid w:val="005B0724"/>
    <w:rsid w:val="005B0732"/>
    <w:rsid w:val="005B0B06"/>
    <w:rsid w:val="005B0BF3"/>
    <w:rsid w:val="005B0DDB"/>
    <w:rsid w:val="005B0E9D"/>
    <w:rsid w:val="005B0F17"/>
    <w:rsid w:val="005B10DE"/>
    <w:rsid w:val="005B1156"/>
    <w:rsid w:val="005B11CF"/>
    <w:rsid w:val="005B1482"/>
    <w:rsid w:val="005B15AC"/>
    <w:rsid w:val="005B1660"/>
    <w:rsid w:val="005B17FC"/>
    <w:rsid w:val="005B1AF3"/>
    <w:rsid w:val="005B1BDF"/>
    <w:rsid w:val="005B1C43"/>
    <w:rsid w:val="005B216D"/>
    <w:rsid w:val="005B27DD"/>
    <w:rsid w:val="005B288E"/>
    <w:rsid w:val="005B2996"/>
    <w:rsid w:val="005B2D43"/>
    <w:rsid w:val="005B2D59"/>
    <w:rsid w:val="005B2FC4"/>
    <w:rsid w:val="005B307C"/>
    <w:rsid w:val="005B3271"/>
    <w:rsid w:val="005B3833"/>
    <w:rsid w:val="005B3937"/>
    <w:rsid w:val="005B39A4"/>
    <w:rsid w:val="005B39DE"/>
    <w:rsid w:val="005B3A28"/>
    <w:rsid w:val="005B3ABA"/>
    <w:rsid w:val="005B3AE7"/>
    <w:rsid w:val="005B3B4F"/>
    <w:rsid w:val="005B3B72"/>
    <w:rsid w:val="005B3D5C"/>
    <w:rsid w:val="005B3DD5"/>
    <w:rsid w:val="005B3EBC"/>
    <w:rsid w:val="005B3FB5"/>
    <w:rsid w:val="005B4150"/>
    <w:rsid w:val="005B419F"/>
    <w:rsid w:val="005B4253"/>
    <w:rsid w:val="005B446D"/>
    <w:rsid w:val="005B44D1"/>
    <w:rsid w:val="005B4516"/>
    <w:rsid w:val="005B47FF"/>
    <w:rsid w:val="005B48F8"/>
    <w:rsid w:val="005B490D"/>
    <w:rsid w:val="005B4990"/>
    <w:rsid w:val="005B4B16"/>
    <w:rsid w:val="005B4BB1"/>
    <w:rsid w:val="005B4D9F"/>
    <w:rsid w:val="005B5033"/>
    <w:rsid w:val="005B5229"/>
    <w:rsid w:val="005B525C"/>
    <w:rsid w:val="005B5448"/>
    <w:rsid w:val="005B54ED"/>
    <w:rsid w:val="005B55F2"/>
    <w:rsid w:val="005B5731"/>
    <w:rsid w:val="005B5A9C"/>
    <w:rsid w:val="005B5C63"/>
    <w:rsid w:val="005B5D37"/>
    <w:rsid w:val="005B5E3A"/>
    <w:rsid w:val="005B6604"/>
    <w:rsid w:val="005B6675"/>
    <w:rsid w:val="005B668B"/>
    <w:rsid w:val="005B6750"/>
    <w:rsid w:val="005B685E"/>
    <w:rsid w:val="005B6A8C"/>
    <w:rsid w:val="005B6B29"/>
    <w:rsid w:val="005B6C0C"/>
    <w:rsid w:val="005B6D21"/>
    <w:rsid w:val="005B720F"/>
    <w:rsid w:val="005B734C"/>
    <w:rsid w:val="005B7371"/>
    <w:rsid w:val="005B737A"/>
    <w:rsid w:val="005B758F"/>
    <w:rsid w:val="005B76CB"/>
    <w:rsid w:val="005B7816"/>
    <w:rsid w:val="005B7BE9"/>
    <w:rsid w:val="005B7F1F"/>
    <w:rsid w:val="005C0397"/>
    <w:rsid w:val="005C03EF"/>
    <w:rsid w:val="005C08F4"/>
    <w:rsid w:val="005C0A43"/>
    <w:rsid w:val="005C0B08"/>
    <w:rsid w:val="005C0EE1"/>
    <w:rsid w:val="005C10C2"/>
    <w:rsid w:val="005C111C"/>
    <w:rsid w:val="005C11AA"/>
    <w:rsid w:val="005C1309"/>
    <w:rsid w:val="005C13B1"/>
    <w:rsid w:val="005C1443"/>
    <w:rsid w:val="005C17AA"/>
    <w:rsid w:val="005C193B"/>
    <w:rsid w:val="005C1945"/>
    <w:rsid w:val="005C19C9"/>
    <w:rsid w:val="005C1A30"/>
    <w:rsid w:val="005C1EB8"/>
    <w:rsid w:val="005C2117"/>
    <w:rsid w:val="005C2125"/>
    <w:rsid w:val="005C2314"/>
    <w:rsid w:val="005C233B"/>
    <w:rsid w:val="005C2485"/>
    <w:rsid w:val="005C25CE"/>
    <w:rsid w:val="005C282B"/>
    <w:rsid w:val="005C2B20"/>
    <w:rsid w:val="005C2B2A"/>
    <w:rsid w:val="005C2CE1"/>
    <w:rsid w:val="005C2E5C"/>
    <w:rsid w:val="005C2E88"/>
    <w:rsid w:val="005C2FD8"/>
    <w:rsid w:val="005C3094"/>
    <w:rsid w:val="005C31C4"/>
    <w:rsid w:val="005C333D"/>
    <w:rsid w:val="005C38A8"/>
    <w:rsid w:val="005C4070"/>
    <w:rsid w:val="005C4363"/>
    <w:rsid w:val="005C43A5"/>
    <w:rsid w:val="005C4586"/>
    <w:rsid w:val="005C4703"/>
    <w:rsid w:val="005C478C"/>
    <w:rsid w:val="005C47E7"/>
    <w:rsid w:val="005C4AB8"/>
    <w:rsid w:val="005C4BF4"/>
    <w:rsid w:val="005C4DB8"/>
    <w:rsid w:val="005C4DF1"/>
    <w:rsid w:val="005C4DF2"/>
    <w:rsid w:val="005C4FBA"/>
    <w:rsid w:val="005C50A4"/>
    <w:rsid w:val="005C55E7"/>
    <w:rsid w:val="005C5648"/>
    <w:rsid w:val="005C592C"/>
    <w:rsid w:val="005C5A8F"/>
    <w:rsid w:val="005C5D5C"/>
    <w:rsid w:val="005C5FFD"/>
    <w:rsid w:val="005C6270"/>
    <w:rsid w:val="005C6277"/>
    <w:rsid w:val="005C6289"/>
    <w:rsid w:val="005C62F5"/>
    <w:rsid w:val="005C6581"/>
    <w:rsid w:val="005C65B5"/>
    <w:rsid w:val="005C65FB"/>
    <w:rsid w:val="005C6687"/>
    <w:rsid w:val="005C6750"/>
    <w:rsid w:val="005C6899"/>
    <w:rsid w:val="005C6B6E"/>
    <w:rsid w:val="005C6E57"/>
    <w:rsid w:val="005C71B7"/>
    <w:rsid w:val="005C751F"/>
    <w:rsid w:val="005C76A6"/>
    <w:rsid w:val="005C7793"/>
    <w:rsid w:val="005C7C05"/>
    <w:rsid w:val="005C7EAA"/>
    <w:rsid w:val="005D01C2"/>
    <w:rsid w:val="005D06B9"/>
    <w:rsid w:val="005D07D9"/>
    <w:rsid w:val="005D0894"/>
    <w:rsid w:val="005D0930"/>
    <w:rsid w:val="005D0A1A"/>
    <w:rsid w:val="005D0AD8"/>
    <w:rsid w:val="005D1148"/>
    <w:rsid w:val="005D1215"/>
    <w:rsid w:val="005D13E7"/>
    <w:rsid w:val="005D154B"/>
    <w:rsid w:val="005D17B0"/>
    <w:rsid w:val="005D17DE"/>
    <w:rsid w:val="005D1896"/>
    <w:rsid w:val="005D1A71"/>
    <w:rsid w:val="005D1ABF"/>
    <w:rsid w:val="005D1B22"/>
    <w:rsid w:val="005D1D66"/>
    <w:rsid w:val="005D1E9A"/>
    <w:rsid w:val="005D1F75"/>
    <w:rsid w:val="005D1FC9"/>
    <w:rsid w:val="005D22EC"/>
    <w:rsid w:val="005D25C3"/>
    <w:rsid w:val="005D26BA"/>
    <w:rsid w:val="005D2702"/>
    <w:rsid w:val="005D2794"/>
    <w:rsid w:val="005D2AF9"/>
    <w:rsid w:val="005D301D"/>
    <w:rsid w:val="005D3164"/>
    <w:rsid w:val="005D3472"/>
    <w:rsid w:val="005D36AA"/>
    <w:rsid w:val="005D36CF"/>
    <w:rsid w:val="005D370F"/>
    <w:rsid w:val="005D3919"/>
    <w:rsid w:val="005D3A27"/>
    <w:rsid w:val="005D3C80"/>
    <w:rsid w:val="005D3E22"/>
    <w:rsid w:val="005D3E66"/>
    <w:rsid w:val="005D3EDC"/>
    <w:rsid w:val="005D3FA2"/>
    <w:rsid w:val="005D408B"/>
    <w:rsid w:val="005D4307"/>
    <w:rsid w:val="005D46A0"/>
    <w:rsid w:val="005D4940"/>
    <w:rsid w:val="005D4CE2"/>
    <w:rsid w:val="005D50E0"/>
    <w:rsid w:val="005D5378"/>
    <w:rsid w:val="005D5557"/>
    <w:rsid w:val="005D55C8"/>
    <w:rsid w:val="005D581D"/>
    <w:rsid w:val="005D5C26"/>
    <w:rsid w:val="005D5C8C"/>
    <w:rsid w:val="005D5D4E"/>
    <w:rsid w:val="005D5D5A"/>
    <w:rsid w:val="005D5DA0"/>
    <w:rsid w:val="005D6189"/>
    <w:rsid w:val="005D644C"/>
    <w:rsid w:val="005D6492"/>
    <w:rsid w:val="005D6571"/>
    <w:rsid w:val="005D65DB"/>
    <w:rsid w:val="005D668F"/>
    <w:rsid w:val="005D66E9"/>
    <w:rsid w:val="005D6703"/>
    <w:rsid w:val="005D67E0"/>
    <w:rsid w:val="005D6881"/>
    <w:rsid w:val="005D6DD3"/>
    <w:rsid w:val="005D6FDB"/>
    <w:rsid w:val="005D703F"/>
    <w:rsid w:val="005D70A2"/>
    <w:rsid w:val="005D7167"/>
    <w:rsid w:val="005D74BB"/>
    <w:rsid w:val="005D7896"/>
    <w:rsid w:val="005D78AE"/>
    <w:rsid w:val="005D7C6A"/>
    <w:rsid w:val="005D7CE9"/>
    <w:rsid w:val="005E05A1"/>
    <w:rsid w:val="005E086D"/>
    <w:rsid w:val="005E0906"/>
    <w:rsid w:val="005E0BD0"/>
    <w:rsid w:val="005E0D5E"/>
    <w:rsid w:val="005E0D9B"/>
    <w:rsid w:val="005E0E62"/>
    <w:rsid w:val="005E0F44"/>
    <w:rsid w:val="005E1150"/>
    <w:rsid w:val="005E127F"/>
    <w:rsid w:val="005E15D1"/>
    <w:rsid w:val="005E1606"/>
    <w:rsid w:val="005E16C3"/>
    <w:rsid w:val="005E19A8"/>
    <w:rsid w:val="005E1A81"/>
    <w:rsid w:val="005E1E28"/>
    <w:rsid w:val="005E202D"/>
    <w:rsid w:val="005E21EB"/>
    <w:rsid w:val="005E230F"/>
    <w:rsid w:val="005E2542"/>
    <w:rsid w:val="005E2AC4"/>
    <w:rsid w:val="005E2B5D"/>
    <w:rsid w:val="005E2CBD"/>
    <w:rsid w:val="005E2CF9"/>
    <w:rsid w:val="005E2DBB"/>
    <w:rsid w:val="005E2FBE"/>
    <w:rsid w:val="005E3016"/>
    <w:rsid w:val="005E310E"/>
    <w:rsid w:val="005E31EC"/>
    <w:rsid w:val="005E339A"/>
    <w:rsid w:val="005E342B"/>
    <w:rsid w:val="005E34ED"/>
    <w:rsid w:val="005E373D"/>
    <w:rsid w:val="005E3825"/>
    <w:rsid w:val="005E3A60"/>
    <w:rsid w:val="005E3ABB"/>
    <w:rsid w:val="005E3B7E"/>
    <w:rsid w:val="005E3BC8"/>
    <w:rsid w:val="005E3C4A"/>
    <w:rsid w:val="005E3EE4"/>
    <w:rsid w:val="005E3F30"/>
    <w:rsid w:val="005E3FE6"/>
    <w:rsid w:val="005E4125"/>
    <w:rsid w:val="005E423C"/>
    <w:rsid w:val="005E441D"/>
    <w:rsid w:val="005E4455"/>
    <w:rsid w:val="005E4492"/>
    <w:rsid w:val="005E4772"/>
    <w:rsid w:val="005E480B"/>
    <w:rsid w:val="005E4D2C"/>
    <w:rsid w:val="005E4D83"/>
    <w:rsid w:val="005E4ED5"/>
    <w:rsid w:val="005E4F0A"/>
    <w:rsid w:val="005E504C"/>
    <w:rsid w:val="005E508C"/>
    <w:rsid w:val="005E53BC"/>
    <w:rsid w:val="005E57E2"/>
    <w:rsid w:val="005E5A25"/>
    <w:rsid w:val="005E5B86"/>
    <w:rsid w:val="005E5BEC"/>
    <w:rsid w:val="005E5D35"/>
    <w:rsid w:val="005E6218"/>
    <w:rsid w:val="005E62EC"/>
    <w:rsid w:val="005E652F"/>
    <w:rsid w:val="005E6534"/>
    <w:rsid w:val="005E6638"/>
    <w:rsid w:val="005E6659"/>
    <w:rsid w:val="005E6725"/>
    <w:rsid w:val="005E673A"/>
    <w:rsid w:val="005E6782"/>
    <w:rsid w:val="005E68E3"/>
    <w:rsid w:val="005E692F"/>
    <w:rsid w:val="005E69DD"/>
    <w:rsid w:val="005E6A7B"/>
    <w:rsid w:val="005E6B47"/>
    <w:rsid w:val="005E6B9D"/>
    <w:rsid w:val="005E6C76"/>
    <w:rsid w:val="005E6CDA"/>
    <w:rsid w:val="005E6E67"/>
    <w:rsid w:val="005E6F8E"/>
    <w:rsid w:val="005E71B7"/>
    <w:rsid w:val="005E71B9"/>
    <w:rsid w:val="005E74E5"/>
    <w:rsid w:val="005E750E"/>
    <w:rsid w:val="005E75A5"/>
    <w:rsid w:val="005E75EC"/>
    <w:rsid w:val="005E78AF"/>
    <w:rsid w:val="005E794C"/>
    <w:rsid w:val="005E7963"/>
    <w:rsid w:val="005E7A46"/>
    <w:rsid w:val="005E7BEE"/>
    <w:rsid w:val="005E7CB7"/>
    <w:rsid w:val="005F00F2"/>
    <w:rsid w:val="005F010A"/>
    <w:rsid w:val="005F064D"/>
    <w:rsid w:val="005F09D8"/>
    <w:rsid w:val="005F0A23"/>
    <w:rsid w:val="005F0D69"/>
    <w:rsid w:val="005F0F2F"/>
    <w:rsid w:val="005F1095"/>
    <w:rsid w:val="005F124A"/>
    <w:rsid w:val="005F1291"/>
    <w:rsid w:val="005F1357"/>
    <w:rsid w:val="005F1511"/>
    <w:rsid w:val="005F15EA"/>
    <w:rsid w:val="005F1775"/>
    <w:rsid w:val="005F185A"/>
    <w:rsid w:val="005F1922"/>
    <w:rsid w:val="005F1B0D"/>
    <w:rsid w:val="005F1F4F"/>
    <w:rsid w:val="005F20D0"/>
    <w:rsid w:val="005F2189"/>
    <w:rsid w:val="005F24AD"/>
    <w:rsid w:val="005F2636"/>
    <w:rsid w:val="005F2687"/>
    <w:rsid w:val="005F29DF"/>
    <w:rsid w:val="005F2BD0"/>
    <w:rsid w:val="005F2D2D"/>
    <w:rsid w:val="005F2EE5"/>
    <w:rsid w:val="005F3196"/>
    <w:rsid w:val="005F3599"/>
    <w:rsid w:val="005F3A74"/>
    <w:rsid w:val="005F3CC3"/>
    <w:rsid w:val="005F3D1C"/>
    <w:rsid w:val="005F40BF"/>
    <w:rsid w:val="005F42E1"/>
    <w:rsid w:val="005F4642"/>
    <w:rsid w:val="005F46C2"/>
    <w:rsid w:val="005F487C"/>
    <w:rsid w:val="005F48AA"/>
    <w:rsid w:val="005F4990"/>
    <w:rsid w:val="005F4B34"/>
    <w:rsid w:val="005F4DC0"/>
    <w:rsid w:val="005F4E7F"/>
    <w:rsid w:val="005F4F06"/>
    <w:rsid w:val="005F4F2B"/>
    <w:rsid w:val="005F51CB"/>
    <w:rsid w:val="005F5384"/>
    <w:rsid w:val="005F55BE"/>
    <w:rsid w:val="005F5A73"/>
    <w:rsid w:val="005F5AF5"/>
    <w:rsid w:val="005F5C68"/>
    <w:rsid w:val="005F5ED2"/>
    <w:rsid w:val="005F6093"/>
    <w:rsid w:val="005F6469"/>
    <w:rsid w:val="005F6B7A"/>
    <w:rsid w:val="005F6B81"/>
    <w:rsid w:val="005F6DBB"/>
    <w:rsid w:val="005F6DBD"/>
    <w:rsid w:val="005F6F5C"/>
    <w:rsid w:val="005F717A"/>
    <w:rsid w:val="005F71D4"/>
    <w:rsid w:val="005F71F4"/>
    <w:rsid w:val="005F7406"/>
    <w:rsid w:val="005F74A0"/>
    <w:rsid w:val="005F784E"/>
    <w:rsid w:val="005F7863"/>
    <w:rsid w:val="005F799F"/>
    <w:rsid w:val="005F7A95"/>
    <w:rsid w:val="005F7B2A"/>
    <w:rsid w:val="005F7EA1"/>
    <w:rsid w:val="00600037"/>
    <w:rsid w:val="006000E5"/>
    <w:rsid w:val="0060014C"/>
    <w:rsid w:val="00600156"/>
    <w:rsid w:val="00600339"/>
    <w:rsid w:val="006004AA"/>
    <w:rsid w:val="00600784"/>
    <w:rsid w:val="00600987"/>
    <w:rsid w:val="006009A6"/>
    <w:rsid w:val="006009D6"/>
    <w:rsid w:val="00600A92"/>
    <w:rsid w:val="00600AEA"/>
    <w:rsid w:val="00600C3F"/>
    <w:rsid w:val="00600DDB"/>
    <w:rsid w:val="0060102C"/>
    <w:rsid w:val="00601102"/>
    <w:rsid w:val="006013C0"/>
    <w:rsid w:val="00601647"/>
    <w:rsid w:val="006016A2"/>
    <w:rsid w:val="006016EC"/>
    <w:rsid w:val="006017A8"/>
    <w:rsid w:val="0060184D"/>
    <w:rsid w:val="00601BBA"/>
    <w:rsid w:val="00601F15"/>
    <w:rsid w:val="00602139"/>
    <w:rsid w:val="00602209"/>
    <w:rsid w:val="00602322"/>
    <w:rsid w:val="00602AC5"/>
    <w:rsid w:val="00603058"/>
    <w:rsid w:val="0060328A"/>
    <w:rsid w:val="0060338E"/>
    <w:rsid w:val="00603419"/>
    <w:rsid w:val="006035C3"/>
    <w:rsid w:val="006035CA"/>
    <w:rsid w:val="006035ED"/>
    <w:rsid w:val="00603698"/>
    <w:rsid w:val="00603A27"/>
    <w:rsid w:val="006042BC"/>
    <w:rsid w:val="006044BA"/>
    <w:rsid w:val="00604545"/>
    <w:rsid w:val="006045D7"/>
    <w:rsid w:val="00604730"/>
    <w:rsid w:val="0060475D"/>
    <w:rsid w:val="006049AC"/>
    <w:rsid w:val="00604A37"/>
    <w:rsid w:val="00604B1F"/>
    <w:rsid w:val="00604B68"/>
    <w:rsid w:val="00604FFF"/>
    <w:rsid w:val="00605027"/>
    <w:rsid w:val="00605142"/>
    <w:rsid w:val="00605395"/>
    <w:rsid w:val="00605985"/>
    <w:rsid w:val="00605A54"/>
    <w:rsid w:val="00605B43"/>
    <w:rsid w:val="00605CCA"/>
    <w:rsid w:val="00605F18"/>
    <w:rsid w:val="006061D7"/>
    <w:rsid w:val="00606335"/>
    <w:rsid w:val="006064E1"/>
    <w:rsid w:val="0060670F"/>
    <w:rsid w:val="00606D0D"/>
    <w:rsid w:val="006073A6"/>
    <w:rsid w:val="006076B3"/>
    <w:rsid w:val="00607B99"/>
    <w:rsid w:val="00607D61"/>
    <w:rsid w:val="00607D62"/>
    <w:rsid w:val="00607FDB"/>
    <w:rsid w:val="0061026B"/>
    <w:rsid w:val="006103A3"/>
    <w:rsid w:val="006103EA"/>
    <w:rsid w:val="00610496"/>
    <w:rsid w:val="006109ED"/>
    <w:rsid w:val="00610B74"/>
    <w:rsid w:val="00610B7E"/>
    <w:rsid w:val="00610CF6"/>
    <w:rsid w:val="00610F25"/>
    <w:rsid w:val="00611270"/>
    <w:rsid w:val="00611369"/>
    <w:rsid w:val="0061154C"/>
    <w:rsid w:val="006116CF"/>
    <w:rsid w:val="00611967"/>
    <w:rsid w:val="00612206"/>
    <w:rsid w:val="00612287"/>
    <w:rsid w:val="00612543"/>
    <w:rsid w:val="0061256E"/>
    <w:rsid w:val="0061273A"/>
    <w:rsid w:val="00612954"/>
    <w:rsid w:val="00612A79"/>
    <w:rsid w:val="00612B35"/>
    <w:rsid w:val="00612E5E"/>
    <w:rsid w:val="00612F42"/>
    <w:rsid w:val="00613077"/>
    <w:rsid w:val="00613136"/>
    <w:rsid w:val="006133D5"/>
    <w:rsid w:val="00613425"/>
    <w:rsid w:val="006134C7"/>
    <w:rsid w:val="00613724"/>
    <w:rsid w:val="00613969"/>
    <w:rsid w:val="0061396B"/>
    <w:rsid w:val="00613B00"/>
    <w:rsid w:val="00613E3D"/>
    <w:rsid w:val="00613F6F"/>
    <w:rsid w:val="00613F9B"/>
    <w:rsid w:val="0061410C"/>
    <w:rsid w:val="00614275"/>
    <w:rsid w:val="00614838"/>
    <w:rsid w:val="00614912"/>
    <w:rsid w:val="00614BA9"/>
    <w:rsid w:val="00614D0B"/>
    <w:rsid w:val="00614D6D"/>
    <w:rsid w:val="00614D6E"/>
    <w:rsid w:val="00614EA1"/>
    <w:rsid w:val="00614EEB"/>
    <w:rsid w:val="00614F0B"/>
    <w:rsid w:val="00615108"/>
    <w:rsid w:val="006153C5"/>
    <w:rsid w:val="006153EF"/>
    <w:rsid w:val="006155EE"/>
    <w:rsid w:val="00615797"/>
    <w:rsid w:val="006157B2"/>
    <w:rsid w:val="006157FE"/>
    <w:rsid w:val="00615841"/>
    <w:rsid w:val="0061588D"/>
    <w:rsid w:val="00615C41"/>
    <w:rsid w:val="0061609F"/>
    <w:rsid w:val="006161A1"/>
    <w:rsid w:val="006161E2"/>
    <w:rsid w:val="006164BD"/>
    <w:rsid w:val="006166BC"/>
    <w:rsid w:val="00616746"/>
    <w:rsid w:val="006167AB"/>
    <w:rsid w:val="00616C19"/>
    <w:rsid w:val="00616CE3"/>
    <w:rsid w:val="006171B5"/>
    <w:rsid w:val="0061721E"/>
    <w:rsid w:val="0061722D"/>
    <w:rsid w:val="00617245"/>
    <w:rsid w:val="006172C3"/>
    <w:rsid w:val="00617484"/>
    <w:rsid w:val="006174B6"/>
    <w:rsid w:val="006176C5"/>
    <w:rsid w:val="00617893"/>
    <w:rsid w:val="00617BF5"/>
    <w:rsid w:val="00617CC3"/>
    <w:rsid w:val="00617DF1"/>
    <w:rsid w:val="00617E9B"/>
    <w:rsid w:val="00620061"/>
    <w:rsid w:val="00620259"/>
    <w:rsid w:val="006202CF"/>
    <w:rsid w:val="00620350"/>
    <w:rsid w:val="006203A1"/>
    <w:rsid w:val="006203C9"/>
    <w:rsid w:val="00620468"/>
    <w:rsid w:val="006204FE"/>
    <w:rsid w:val="0062065F"/>
    <w:rsid w:val="00620707"/>
    <w:rsid w:val="0062087B"/>
    <w:rsid w:val="00620888"/>
    <w:rsid w:val="0062097F"/>
    <w:rsid w:val="00620C4F"/>
    <w:rsid w:val="00620CF2"/>
    <w:rsid w:val="00620D22"/>
    <w:rsid w:val="00620DF5"/>
    <w:rsid w:val="00620E65"/>
    <w:rsid w:val="006210C7"/>
    <w:rsid w:val="00621557"/>
    <w:rsid w:val="00621583"/>
    <w:rsid w:val="00621E9E"/>
    <w:rsid w:val="00621F63"/>
    <w:rsid w:val="00622409"/>
    <w:rsid w:val="00622459"/>
    <w:rsid w:val="006225F3"/>
    <w:rsid w:val="006228AC"/>
    <w:rsid w:val="006228B2"/>
    <w:rsid w:val="006229DD"/>
    <w:rsid w:val="00622C9D"/>
    <w:rsid w:val="00622E5B"/>
    <w:rsid w:val="006233AB"/>
    <w:rsid w:val="00623A45"/>
    <w:rsid w:val="00623A72"/>
    <w:rsid w:val="00623CC5"/>
    <w:rsid w:val="00623D81"/>
    <w:rsid w:val="00623F12"/>
    <w:rsid w:val="00624038"/>
    <w:rsid w:val="006240F3"/>
    <w:rsid w:val="00624280"/>
    <w:rsid w:val="0062442F"/>
    <w:rsid w:val="00624525"/>
    <w:rsid w:val="006246EB"/>
    <w:rsid w:val="006252D3"/>
    <w:rsid w:val="006253B3"/>
    <w:rsid w:val="006255D0"/>
    <w:rsid w:val="0062563B"/>
    <w:rsid w:val="00625925"/>
    <w:rsid w:val="00625AC4"/>
    <w:rsid w:val="00625D37"/>
    <w:rsid w:val="00625D53"/>
    <w:rsid w:val="00625E56"/>
    <w:rsid w:val="0062615E"/>
    <w:rsid w:val="006261B9"/>
    <w:rsid w:val="00626409"/>
    <w:rsid w:val="00626569"/>
    <w:rsid w:val="00626693"/>
    <w:rsid w:val="006266AB"/>
    <w:rsid w:val="00626765"/>
    <w:rsid w:val="00626BE9"/>
    <w:rsid w:val="00626D78"/>
    <w:rsid w:val="00626EE5"/>
    <w:rsid w:val="00626F7B"/>
    <w:rsid w:val="00626FC8"/>
    <w:rsid w:val="006270DF"/>
    <w:rsid w:val="00627323"/>
    <w:rsid w:val="00627449"/>
    <w:rsid w:val="006274AD"/>
    <w:rsid w:val="00627579"/>
    <w:rsid w:val="006275DB"/>
    <w:rsid w:val="00627603"/>
    <w:rsid w:val="00627711"/>
    <w:rsid w:val="006277D7"/>
    <w:rsid w:val="00627B67"/>
    <w:rsid w:val="00627C47"/>
    <w:rsid w:val="00627C74"/>
    <w:rsid w:val="00627C84"/>
    <w:rsid w:val="00627DD9"/>
    <w:rsid w:val="00627E08"/>
    <w:rsid w:val="00627FFB"/>
    <w:rsid w:val="0063028D"/>
    <w:rsid w:val="006302A9"/>
    <w:rsid w:val="006302DF"/>
    <w:rsid w:val="006302FB"/>
    <w:rsid w:val="00630933"/>
    <w:rsid w:val="006309D1"/>
    <w:rsid w:val="00630B44"/>
    <w:rsid w:val="00630BA0"/>
    <w:rsid w:val="00630C86"/>
    <w:rsid w:val="006310C9"/>
    <w:rsid w:val="006311B7"/>
    <w:rsid w:val="00631406"/>
    <w:rsid w:val="006315E6"/>
    <w:rsid w:val="0063172C"/>
    <w:rsid w:val="00631BD4"/>
    <w:rsid w:val="00631C1F"/>
    <w:rsid w:val="00631E6A"/>
    <w:rsid w:val="00631FA5"/>
    <w:rsid w:val="006321DC"/>
    <w:rsid w:val="00632256"/>
    <w:rsid w:val="00632265"/>
    <w:rsid w:val="006322CC"/>
    <w:rsid w:val="006323E2"/>
    <w:rsid w:val="0063243B"/>
    <w:rsid w:val="00632AEC"/>
    <w:rsid w:val="00632E28"/>
    <w:rsid w:val="006330E1"/>
    <w:rsid w:val="006330EC"/>
    <w:rsid w:val="00633744"/>
    <w:rsid w:val="00633A9B"/>
    <w:rsid w:val="00633AEB"/>
    <w:rsid w:val="00633CB9"/>
    <w:rsid w:val="00634339"/>
    <w:rsid w:val="006343AD"/>
    <w:rsid w:val="00634418"/>
    <w:rsid w:val="00634615"/>
    <w:rsid w:val="0063483B"/>
    <w:rsid w:val="0063497F"/>
    <w:rsid w:val="0063499D"/>
    <w:rsid w:val="00634D50"/>
    <w:rsid w:val="00634DD3"/>
    <w:rsid w:val="00634DF7"/>
    <w:rsid w:val="006352D2"/>
    <w:rsid w:val="0063530D"/>
    <w:rsid w:val="00635360"/>
    <w:rsid w:val="00635660"/>
    <w:rsid w:val="00635725"/>
    <w:rsid w:val="00635957"/>
    <w:rsid w:val="00635DB6"/>
    <w:rsid w:val="00635FAD"/>
    <w:rsid w:val="00636113"/>
    <w:rsid w:val="006365AF"/>
    <w:rsid w:val="0063687E"/>
    <w:rsid w:val="00636E46"/>
    <w:rsid w:val="00636EE5"/>
    <w:rsid w:val="00637116"/>
    <w:rsid w:val="006371DE"/>
    <w:rsid w:val="00637563"/>
    <w:rsid w:val="00637762"/>
    <w:rsid w:val="00637779"/>
    <w:rsid w:val="006377E7"/>
    <w:rsid w:val="006379BC"/>
    <w:rsid w:val="006379CC"/>
    <w:rsid w:val="006379D4"/>
    <w:rsid w:val="00637B33"/>
    <w:rsid w:val="00637C85"/>
    <w:rsid w:val="00637CCB"/>
    <w:rsid w:val="006400C1"/>
    <w:rsid w:val="00640278"/>
    <w:rsid w:val="006402DD"/>
    <w:rsid w:val="006405B2"/>
    <w:rsid w:val="0064061C"/>
    <w:rsid w:val="00640656"/>
    <w:rsid w:val="006408C6"/>
    <w:rsid w:val="006409D7"/>
    <w:rsid w:val="00640B76"/>
    <w:rsid w:val="00640D58"/>
    <w:rsid w:val="00640E50"/>
    <w:rsid w:val="00641269"/>
    <w:rsid w:val="006412A6"/>
    <w:rsid w:val="006412F5"/>
    <w:rsid w:val="006413A6"/>
    <w:rsid w:val="006413B5"/>
    <w:rsid w:val="00641471"/>
    <w:rsid w:val="00641952"/>
    <w:rsid w:val="00641A01"/>
    <w:rsid w:val="00641A4E"/>
    <w:rsid w:val="00641BC3"/>
    <w:rsid w:val="00641CAC"/>
    <w:rsid w:val="00641CB6"/>
    <w:rsid w:val="00641D17"/>
    <w:rsid w:val="00641E3E"/>
    <w:rsid w:val="00641F54"/>
    <w:rsid w:val="006420BF"/>
    <w:rsid w:val="00642153"/>
    <w:rsid w:val="006421A1"/>
    <w:rsid w:val="006422DE"/>
    <w:rsid w:val="0064247F"/>
    <w:rsid w:val="00642942"/>
    <w:rsid w:val="00642B59"/>
    <w:rsid w:val="00642B9D"/>
    <w:rsid w:val="00642BA0"/>
    <w:rsid w:val="006430C1"/>
    <w:rsid w:val="006431C2"/>
    <w:rsid w:val="00643248"/>
    <w:rsid w:val="0064334C"/>
    <w:rsid w:val="0064384D"/>
    <w:rsid w:val="00643A04"/>
    <w:rsid w:val="00643F41"/>
    <w:rsid w:val="0064402E"/>
    <w:rsid w:val="00644224"/>
    <w:rsid w:val="00644320"/>
    <w:rsid w:val="0064453D"/>
    <w:rsid w:val="00644808"/>
    <w:rsid w:val="0064491F"/>
    <w:rsid w:val="00644B65"/>
    <w:rsid w:val="00644DA1"/>
    <w:rsid w:val="00644E61"/>
    <w:rsid w:val="00644E7D"/>
    <w:rsid w:val="006450BC"/>
    <w:rsid w:val="0064526D"/>
    <w:rsid w:val="00645380"/>
    <w:rsid w:val="00645465"/>
    <w:rsid w:val="0064564D"/>
    <w:rsid w:val="00645C14"/>
    <w:rsid w:val="00645C1C"/>
    <w:rsid w:val="00645D30"/>
    <w:rsid w:val="00645D45"/>
    <w:rsid w:val="00645E0A"/>
    <w:rsid w:val="00645E1C"/>
    <w:rsid w:val="0064608D"/>
    <w:rsid w:val="00646125"/>
    <w:rsid w:val="00646134"/>
    <w:rsid w:val="0064635D"/>
    <w:rsid w:val="006466DA"/>
    <w:rsid w:val="006468C3"/>
    <w:rsid w:val="00646A83"/>
    <w:rsid w:val="00646AF0"/>
    <w:rsid w:val="00646BA9"/>
    <w:rsid w:val="00647004"/>
    <w:rsid w:val="00647108"/>
    <w:rsid w:val="00647276"/>
    <w:rsid w:val="00647331"/>
    <w:rsid w:val="0064739D"/>
    <w:rsid w:val="006474EF"/>
    <w:rsid w:val="00647C6F"/>
    <w:rsid w:val="00647DFB"/>
    <w:rsid w:val="00647E27"/>
    <w:rsid w:val="00650341"/>
    <w:rsid w:val="00650542"/>
    <w:rsid w:val="0065064F"/>
    <w:rsid w:val="0065072D"/>
    <w:rsid w:val="0065096D"/>
    <w:rsid w:val="00650B23"/>
    <w:rsid w:val="00650C63"/>
    <w:rsid w:val="00650F34"/>
    <w:rsid w:val="006511CD"/>
    <w:rsid w:val="0065125C"/>
    <w:rsid w:val="006513DD"/>
    <w:rsid w:val="00651417"/>
    <w:rsid w:val="00651BCC"/>
    <w:rsid w:val="00651C6A"/>
    <w:rsid w:val="00651E1D"/>
    <w:rsid w:val="00651E5C"/>
    <w:rsid w:val="00651E83"/>
    <w:rsid w:val="00652443"/>
    <w:rsid w:val="0065253B"/>
    <w:rsid w:val="006527E5"/>
    <w:rsid w:val="00652BD6"/>
    <w:rsid w:val="00652D0E"/>
    <w:rsid w:val="00652D6C"/>
    <w:rsid w:val="00652FDC"/>
    <w:rsid w:val="0065328B"/>
    <w:rsid w:val="0065338C"/>
    <w:rsid w:val="0065347A"/>
    <w:rsid w:val="00653549"/>
    <w:rsid w:val="00653AE0"/>
    <w:rsid w:val="00653C13"/>
    <w:rsid w:val="006540F8"/>
    <w:rsid w:val="00654197"/>
    <w:rsid w:val="00654297"/>
    <w:rsid w:val="0065436B"/>
    <w:rsid w:val="00654971"/>
    <w:rsid w:val="00654A60"/>
    <w:rsid w:val="00654E63"/>
    <w:rsid w:val="00654FBB"/>
    <w:rsid w:val="00654FD2"/>
    <w:rsid w:val="00654FD6"/>
    <w:rsid w:val="006550C7"/>
    <w:rsid w:val="00655153"/>
    <w:rsid w:val="006553D0"/>
    <w:rsid w:val="0065568D"/>
    <w:rsid w:val="00655759"/>
    <w:rsid w:val="006557F2"/>
    <w:rsid w:val="00655996"/>
    <w:rsid w:val="00655A81"/>
    <w:rsid w:val="00655C28"/>
    <w:rsid w:val="00655C95"/>
    <w:rsid w:val="00655E24"/>
    <w:rsid w:val="0065637D"/>
    <w:rsid w:val="00656478"/>
    <w:rsid w:val="0065651C"/>
    <w:rsid w:val="0065654F"/>
    <w:rsid w:val="006565A9"/>
    <w:rsid w:val="00656627"/>
    <w:rsid w:val="006568E0"/>
    <w:rsid w:val="00656C08"/>
    <w:rsid w:val="00656EF8"/>
    <w:rsid w:val="00656EFD"/>
    <w:rsid w:val="00657461"/>
    <w:rsid w:val="0065767E"/>
    <w:rsid w:val="00657681"/>
    <w:rsid w:val="006576E0"/>
    <w:rsid w:val="00657785"/>
    <w:rsid w:val="00657873"/>
    <w:rsid w:val="006578AB"/>
    <w:rsid w:val="006578CE"/>
    <w:rsid w:val="00657CA3"/>
    <w:rsid w:val="00657E47"/>
    <w:rsid w:val="00657ED0"/>
    <w:rsid w:val="00657F6C"/>
    <w:rsid w:val="00657F84"/>
    <w:rsid w:val="00660086"/>
    <w:rsid w:val="006600F2"/>
    <w:rsid w:val="006603B1"/>
    <w:rsid w:val="00660DB2"/>
    <w:rsid w:val="00661452"/>
    <w:rsid w:val="0066147E"/>
    <w:rsid w:val="00661B3D"/>
    <w:rsid w:val="00661BB3"/>
    <w:rsid w:val="00661C9F"/>
    <w:rsid w:val="00661D78"/>
    <w:rsid w:val="00661E26"/>
    <w:rsid w:val="00661EFD"/>
    <w:rsid w:val="00662057"/>
    <w:rsid w:val="006620C3"/>
    <w:rsid w:val="00662230"/>
    <w:rsid w:val="0066225E"/>
    <w:rsid w:val="0066281B"/>
    <w:rsid w:val="006628E9"/>
    <w:rsid w:val="00662A33"/>
    <w:rsid w:val="00662A43"/>
    <w:rsid w:val="00662A93"/>
    <w:rsid w:val="00662B94"/>
    <w:rsid w:val="00662E5C"/>
    <w:rsid w:val="006630F7"/>
    <w:rsid w:val="0066330A"/>
    <w:rsid w:val="0066331C"/>
    <w:rsid w:val="00663434"/>
    <w:rsid w:val="00663712"/>
    <w:rsid w:val="00663892"/>
    <w:rsid w:val="006639F1"/>
    <w:rsid w:val="00663A87"/>
    <w:rsid w:val="00663B5D"/>
    <w:rsid w:val="00663CA2"/>
    <w:rsid w:val="0066462F"/>
    <w:rsid w:val="0066469A"/>
    <w:rsid w:val="00664C50"/>
    <w:rsid w:val="00664C53"/>
    <w:rsid w:val="00664F8E"/>
    <w:rsid w:val="00665306"/>
    <w:rsid w:val="0066531A"/>
    <w:rsid w:val="006654E1"/>
    <w:rsid w:val="00665A5F"/>
    <w:rsid w:val="00665B53"/>
    <w:rsid w:val="00665B84"/>
    <w:rsid w:val="00665D5C"/>
    <w:rsid w:val="00665DB5"/>
    <w:rsid w:val="00666013"/>
    <w:rsid w:val="00666054"/>
    <w:rsid w:val="006662B8"/>
    <w:rsid w:val="00666416"/>
    <w:rsid w:val="0066661F"/>
    <w:rsid w:val="006666A6"/>
    <w:rsid w:val="0066673D"/>
    <w:rsid w:val="006667BD"/>
    <w:rsid w:val="006668FA"/>
    <w:rsid w:val="00666AF6"/>
    <w:rsid w:val="00666BBA"/>
    <w:rsid w:val="00666BD8"/>
    <w:rsid w:val="00666C1C"/>
    <w:rsid w:val="00666DB3"/>
    <w:rsid w:val="00666DD0"/>
    <w:rsid w:val="00667176"/>
    <w:rsid w:val="00667322"/>
    <w:rsid w:val="0066739B"/>
    <w:rsid w:val="00667457"/>
    <w:rsid w:val="006676B6"/>
    <w:rsid w:val="006679C2"/>
    <w:rsid w:val="006679C9"/>
    <w:rsid w:val="00667A2A"/>
    <w:rsid w:val="00667C43"/>
    <w:rsid w:val="00667D22"/>
    <w:rsid w:val="00667E89"/>
    <w:rsid w:val="00670035"/>
    <w:rsid w:val="00670054"/>
    <w:rsid w:val="00670329"/>
    <w:rsid w:val="0067068C"/>
    <w:rsid w:val="006706AE"/>
    <w:rsid w:val="0067080A"/>
    <w:rsid w:val="00670864"/>
    <w:rsid w:val="00670FF8"/>
    <w:rsid w:val="006710E1"/>
    <w:rsid w:val="00671334"/>
    <w:rsid w:val="00671497"/>
    <w:rsid w:val="006718A9"/>
    <w:rsid w:val="0067191B"/>
    <w:rsid w:val="00671A53"/>
    <w:rsid w:val="00671D3E"/>
    <w:rsid w:val="00671E18"/>
    <w:rsid w:val="00671F40"/>
    <w:rsid w:val="006728CF"/>
    <w:rsid w:val="0067299F"/>
    <w:rsid w:val="00672D35"/>
    <w:rsid w:val="00672EBC"/>
    <w:rsid w:val="00673191"/>
    <w:rsid w:val="006731E7"/>
    <w:rsid w:val="00673418"/>
    <w:rsid w:val="006734DA"/>
    <w:rsid w:val="006736D5"/>
    <w:rsid w:val="006739CA"/>
    <w:rsid w:val="00673AB1"/>
    <w:rsid w:val="00673E69"/>
    <w:rsid w:val="00673EA9"/>
    <w:rsid w:val="00673FEF"/>
    <w:rsid w:val="0067411B"/>
    <w:rsid w:val="0067449A"/>
    <w:rsid w:val="006744A2"/>
    <w:rsid w:val="00674559"/>
    <w:rsid w:val="006745FB"/>
    <w:rsid w:val="00674E9F"/>
    <w:rsid w:val="0067502B"/>
    <w:rsid w:val="0067506E"/>
    <w:rsid w:val="0067528B"/>
    <w:rsid w:val="006755D1"/>
    <w:rsid w:val="006756C1"/>
    <w:rsid w:val="00675821"/>
    <w:rsid w:val="00675B0A"/>
    <w:rsid w:val="00675B1B"/>
    <w:rsid w:val="00675C28"/>
    <w:rsid w:val="00676089"/>
    <w:rsid w:val="006763EA"/>
    <w:rsid w:val="006763F4"/>
    <w:rsid w:val="00676481"/>
    <w:rsid w:val="00676740"/>
    <w:rsid w:val="006767D3"/>
    <w:rsid w:val="006767F6"/>
    <w:rsid w:val="00676955"/>
    <w:rsid w:val="00676CE6"/>
    <w:rsid w:val="00676D53"/>
    <w:rsid w:val="00676DFE"/>
    <w:rsid w:val="00676E2F"/>
    <w:rsid w:val="00677018"/>
    <w:rsid w:val="006770DD"/>
    <w:rsid w:val="006771C0"/>
    <w:rsid w:val="00677507"/>
    <w:rsid w:val="0067773A"/>
    <w:rsid w:val="006779DA"/>
    <w:rsid w:val="00677D25"/>
    <w:rsid w:val="00677DF4"/>
    <w:rsid w:val="00677FD3"/>
    <w:rsid w:val="00680200"/>
    <w:rsid w:val="00680387"/>
    <w:rsid w:val="00680652"/>
    <w:rsid w:val="006806EF"/>
    <w:rsid w:val="006808F8"/>
    <w:rsid w:val="006808FB"/>
    <w:rsid w:val="0068090C"/>
    <w:rsid w:val="00680B2B"/>
    <w:rsid w:val="00680BE1"/>
    <w:rsid w:val="00680ECE"/>
    <w:rsid w:val="006810B1"/>
    <w:rsid w:val="00681225"/>
    <w:rsid w:val="006813DB"/>
    <w:rsid w:val="0068164B"/>
    <w:rsid w:val="00681876"/>
    <w:rsid w:val="00681A02"/>
    <w:rsid w:val="00681B43"/>
    <w:rsid w:val="00681D68"/>
    <w:rsid w:val="00681D90"/>
    <w:rsid w:val="00681FF4"/>
    <w:rsid w:val="00682227"/>
    <w:rsid w:val="0068224B"/>
    <w:rsid w:val="0068276E"/>
    <w:rsid w:val="00682851"/>
    <w:rsid w:val="00682917"/>
    <w:rsid w:val="00682A63"/>
    <w:rsid w:val="00682ABF"/>
    <w:rsid w:val="00682F1A"/>
    <w:rsid w:val="00683317"/>
    <w:rsid w:val="0068346A"/>
    <w:rsid w:val="00683906"/>
    <w:rsid w:val="00683A95"/>
    <w:rsid w:val="00683B28"/>
    <w:rsid w:val="00683B92"/>
    <w:rsid w:val="00683E80"/>
    <w:rsid w:val="006841AD"/>
    <w:rsid w:val="00684289"/>
    <w:rsid w:val="006842EC"/>
    <w:rsid w:val="00684452"/>
    <w:rsid w:val="006844AD"/>
    <w:rsid w:val="00684632"/>
    <w:rsid w:val="00684888"/>
    <w:rsid w:val="006848C1"/>
    <w:rsid w:val="00684C62"/>
    <w:rsid w:val="00684DF8"/>
    <w:rsid w:val="00684F07"/>
    <w:rsid w:val="006850C2"/>
    <w:rsid w:val="00685339"/>
    <w:rsid w:val="00685370"/>
    <w:rsid w:val="00685418"/>
    <w:rsid w:val="00685529"/>
    <w:rsid w:val="00685571"/>
    <w:rsid w:val="006855F2"/>
    <w:rsid w:val="00685842"/>
    <w:rsid w:val="006858C5"/>
    <w:rsid w:val="00685A02"/>
    <w:rsid w:val="00685CE7"/>
    <w:rsid w:val="00686474"/>
    <w:rsid w:val="00686526"/>
    <w:rsid w:val="00686576"/>
    <w:rsid w:val="00686647"/>
    <w:rsid w:val="00686680"/>
    <w:rsid w:val="006867C3"/>
    <w:rsid w:val="00686926"/>
    <w:rsid w:val="006869B1"/>
    <w:rsid w:val="00686C03"/>
    <w:rsid w:val="00686C9B"/>
    <w:rsid w:val="00686CC1"/>
    <w:rsid w:val="00686E47"/>
    <w:rsid w:val="00686EC4"/>
    <w:rsid w:val="00686FB5"/>
    <w:rsid w:val="00687161"/>
    <w:rsid w:val="006871E0"/>
    <w:rsid w:val="0068725D"/>
    <w:rsid w:val="006875E2"/>
    <w:rsid w:val="006876C5"/>
    <w:rsid w:val="00687821"/>
    <w:rsid w:val="00687982"/>
    <w:rsid w:val="00687CFE"/>
    <w:rsid w:val="00687F8C"/>
    <w:rsid w:val="0069013A"/>
    <w:rsid w:val="00690438"/>
    <w:rsid w:val="006906D6"/>
    <w:rsid w:val="00690816"/>
    <w:rsid w:val="00690882"/>
    <w:rsid w:val="00690998"/>
    <w:rsid w:val="00690A52"/>
    <w:rsid w:val="00690C3A"/>
    <w:rsid w:val="00690F1D"/>
    <w:rsid w:val="00691531"/>
    <w:rsid w:val="00691670"/>
    <w:rsid w:val="00691750"/>
    <w:rsid w:val="006917F9"/>
    <w:rsid w:val="00691801"/>
    <w:rsid w:val="00691992"/>
    <w:rsid w:val="006919AC"/>
    <w:rsid w:val="00691CB6"/>
    <w:rsid w:val="00691E4B"/>
    <w:rsid w:val="00691EA3"/>
    <w:rsid w:val="00692189"/>
    <w:rsid w:val="006921B1"/>
    <w:rsid w:val="0069230B"/>
    <w:rsid w:val="0069242A"/>
    <w:rsid w:val="00692582"/>
    <w:rsid w:val="0069268F"/>
    <w:rsid w:val="00692743"/>
    <w:rsid w:val="00692A42"/>
    <w:rsid w:val="00692B57"/>
    <w:rsid w:val="00692C03"/>
    <w:rsid w:val="00692DCE"/>
    <w:rsid w:val="00692F07"/>
    <w:rsid w:val="00692F8E"/>
    <w:rsid w:val="00693237"/>
    <w:rsid w:val="006935D1"/>
    <w:rsid w:val="006937BD"/>
    <w:rsid w:val="006937D7"/>
    <w:rsid w:val="0069397F"/>
    <w:rsid w:val="00693C74"/>
    <w:rsid w:val="00693F29"/>
    <w:rsid w:val="00693F2C"/>
    <w:rsid w:val="00693FFF"/>
    <w:rsid w:val="00694868"/>
    <w:rsid w:val="00694922"/>
    <w:rsid w:val="006949DF"/>
    <w:rsid w:val="00694A35"/>
    <w:rsid w:val="00694B73"/>
    <w:rsid w:val="00694BF7"/>
    <w:rsid w:val="00694C00"/>
    <w:rsid w:val="00694F35"/>
    <w:rsid w:val="00694F66"/>
    <w:rsid w:val="00694F7E"/>
    <w:rsid w:val="006950D5"/>
    <w:rsid w:val="00695217"/>
    <w:rsid w:val="00695285"/>
    <w:rsid w:val="006953BE"/>
    <w:rsid w:val="006955F3"/>
    <w:rsid w:val="006956A7"/>
    <w:rsid w:val="0069571D"/>
    <w:rsid w:val="00695946"/>
    <w:rsid w:val="006959BA"/>
    <w:rsid w:val="00695A88"/>
    <w:rsid w:val="00695B01"/>
    <w:rsid w:val="00695D9D"/>
    <w:rsid w:val="00695DA4"/>
    <w:rsid w:val="00696049"/>
    <w:rsid w:val="006960FC"/>
    <w:rsid w:val="00696419"/>
    <w:rsid w:val="0069645C"/>
    <w:rsid w:val="0069647A"/>
    <w:rsid w:val="00696819"/>
    <w:rsid w:val="00696C07"/>
    <w:rsid w:val="00696EB6"/>
    <w:rsid w:val="00697329"/>
    <w:rsid w:val="0069739D"/>
    <w:rsid w:val="006973A6"/>
    <w:rsid w:val="0069740E"/>
    <w:rsid w:val="00697564"/>
    <w:rsid w:val="00697776"/>
    <w:rsid w:val="0069781F"/>
    <w:rsid w:val="00697C6F"/>
    <w:rsid w:val="00697D00"/>
    <w:rsid w:val="00697D80"/>
    <w:rsid w:val="00697FCC"/>
    <w:rsid w:val="006A007A"/>
    <w:rsid w:val="006A0364"/>
    <w:rsid w:val="006A04ED"/>
    <w:rsid w:val="006A05E5"/>
    <w:rsid w:val="006A0645"/>
    <w:rsid w:val="006A0653"/>
    <w:rsid w:val="006A074C"/>
    <w:rsid w:val="006A0E32"/>
    <w:rsid w:val="006A0F97"/>
    <w:rsid w:val="006A11A3"/>
    <w:rsid w:val="006A13EE"/>
    <w:rsid w:val="006A14F7"/>
    <w:rsid w:val="006A17AE"/>
    <w:rsid w:val="006A1836"/>
    <w:rsid w:val="006A1983"/>
    <w:rsid w:val="006A1A1F"/>
    <w:rsid w:val="006A1AED"/>
    <w:rsid w:val="006A1D17"/>
    <w:rsid w:val="006A1E2B"/>
    <w:rsid w:val="006A1ED0"/>
    <w:rsid w:val="006A2049"/>
    <w:rsid w:val="006A2318"/>
    <w:rsid w:val="006A24C3"/>
    <w:rsid w:val="006A24F2"/>
    <w:rsid w:val="006A2551"/>
    <w:rsid w:val="006A2801"/>
    <w:rsid w:val="006A2CFE"/>
    <w:rsid w:val="006A2D3D"/>
    <w:rsid w:val="006A2F83"/>
    <w:rsid w:val="006A322A"/>
    <w:rsid w:val="006A32BE"/>
    <w:rsid w:val="006A32CF"/>
    <w:rsid w:val="006A335B"/>
    <w:rsid w:val="006A3431"/>
    <w:rsid w:val="006A361F"/>
    <w:rsid w:val="006A3766"/>
    <w:rsid w:val="006A378C"/>
    <w:rsid w:val="006A3CE3"/>
    <w:rsid w:val="006A3EB1"/>
    <w:rsid w:val="006A3ECD"/>
    <w:rsid w:val="006A4107"/>
    <w:rsid w:val="006A4348"/>
    <w:rsid w:val="006A46C7"/>
    <w:rsid w:val="006A46DC"/>
    <w:rsid w:val="006A46E0"/>
    <w:rsid w:val="006A4BBB"/>
    <w:rsid w:val="006A4BED"/>
    <w:rsid w:val="006A4E90"/>
    <w:rsid w:val="006A5270"/>
    <w:rsid w:val="006A5337"/>
    <w:rsid w:val="006A53CF"/>
    <w:rsid w:val="006A562E"/>
    <w:rsid w:val="006A5A3F"/>
    <w:rsid w:val="006A5B20"/>
    <w:rsid w:val="006A5CB9"/>
    <w:rsid w:val="006A5CE2"/>
    <w:rsid w:val="006A5EEC"/>
    <w:rsid w:val="006A6193"/>
    <w:rsid w:val="006A6399"/>
    <w:rsid w:val="006A63D1"/>
    <w:rsid w:val="006A6432"/>
    <w:rsid w:val="006A6622"/>
    <w:rsid w:val="006A6A67"/>
    <w:rsid w:val="006A6D77"/>
    <w:rsid w:val="006A6DFB"/>
    <w:rsid w:val="006A6F38"/>
    <w:rsid w:val="006A7007"/>
    <w:rsid w:val="006A7063"/>
    <w:rsid w:val="006A712B"/>
    <w:rsid w:val="006A743F"/>
    <w:rsid w:val="006A773C"/>
    <w:rsid w:val="006A784B"/>
    <w:rsid w:val="006A7F34"/>
    <w:rsid w:val="006B006E"/>
    <w:rsid w:val="006B02EC"/>
    <w:rsid w:val="006B0AB1"/>
    <w:rsid w:val="006B0B31"/>
    <w:rsid w:val="006B0C1B"/>
    <w:rsid w:val="006B0CE7"/>
    <w:rsid w:val="006B0D9E"/>
    <w:rsid w:val="006B0E00"/>
    <w:rsid w:val="006B0F05"/>
    <w:rsid w:val="006B12F8"/>
    <w:rsid w:val="006B1544"/>
    <w:rsid w:val="006B160B"/>
    <w:rsid w:val="006B167C"/>
    <w:rsid w:val="006B1B23"/>
    <w:rsid w:val="006B1B72"/>
    <w:rsid w:val="006B1D28"/>
    <w:rsid w:val="006B1F1E"/>
    <w:rsid w:val="006B1F3D"/>
    <w:rsid w:val="006B2044"/>
    <w:rsid w:val="006B2093"/>
    <w:rsid w:val="006B217B"/>
    <w:rsid w:val="006B22D3"/>
    <w:rsid w:val="006B238A"/>
    <w:rsid w:val="006B26C3"/>
    <w:rsid w:val="006B2701"/>
    <w:rsid w:val="006B272F"/>
    <w:rsid w:val="006B284A"/>
    <w:rsid w:val="006B2854"/>
    <w:rsid w:val="006B2A75"/>
    <w:rsid w:val="006B2DF6"/>
    <w:rsid w:val="006B31C7"/>
    <w:rsid w:val="006B3365"/>
    <w:rsid w:val="006B33FA"/>
    <w:rsid w:val="006B3513"/>
    <w:rsid w:val="006B360E"/>
    <w:rsid w:val="006B3626"/>
    <w:rsid w:val="006B38C1"/>
    <w:rsid w:val="006B3B96"/>
    <w:rsid w:val="006B3BA7"/>
    <w:rsid w:val="006B3BCD"/>
    <w:rsid w:val="006B3C07"/>
    <w:rsid w:val="006B3E6B"/>
    <w:rsid w:val="006B3F0D"/>
    <w:rsid w:val="006B4178"/>
    <w:rsid w:val="006B42C3"/>
    <w:rsid w:val="006B4430"/>
    <w:rsid w:val="006B44A1"/>
    <w:rsid w:val="006B4845"/>
    <w:rsid w:val="006B4BBF"/>
    <w:rsid w:val="006B4C02"/>
    <w:rsid w:val="006B4DBE"/>
    <w:rsid w:val="006B5016"/>
    <w:rsid w:val="006B50E6"/>
    <w:rsid w:val="006B581E"/>
    <w:rsid w:val="006B58F5"/>
    <w:rsid w:val="006B5AA0"/>
    <w:rsid w:val="006B5AD9"/>
    <w:rsid w:val="006B5B67"/>
    <w:rsid w:val="006B5B68"/>
    <w:rsid w:val="006B5CC8"/>
    <w:rsid w:val="006B5FB3"/>
    <w:rsid w:val="006B6076"/>
    <w:rsid w:val="006B6491"/>
    <w:rsid w:val="006B676A"/>
    <w:rsid w:val="006B6A55"/>
    <w:rsid w:val="006B6C18"/>
    <w:rsid w:val="006B6CFB"/>
    <w:rsid w:val="006B6D57"/>
    <w:rsid w:val="006B6E60"/>
    <w:rsid w:val="006B6FC9"/>
    <w:rsid w:val="006B70A6"/>
    <w:rsid w:val="006B72FD"/>
    <w:rsid w:val="006B7424"/>
    <w:rsid w:val="006B7536"/>
    <w:rsid w:val="006B75B4"/>
    <w:rsid w:val="006B7B54"/>
    <w:rsid w:val="006B7D8C"/>
    <w:rsid w:val="006B7F73"/>
    <w:rsid w:val="006B7FE2"/>
    <w:rsid w:val="006C006A"/>
    <w:rsid w:val="006C0125"/>
    <w:rsid w:val="006C04C7"/>
    <w:rsid w:val="006C05C0"/>
    <w:rsid w:val="006C07DB"/>
    <w:rsid w:val="006C0952"/>
    <w:rsid w:val="006C0B21"/>
    <w:rsid w:val="006C0CDF"/>
    <w:rsid w:val="006C0F38"/>
    <w:rsid w:val="006C0FCE"/>
    <w:rsid w:val="006C11DE"/>
    <w:rsid w:val="006C1486"/>
    <w:rsid w:val="006C14BD"/>
    <w:rsid w:val="006C14CF"/>
    <w:rsid w:val="006C1839"/>
    <w:rsid w:val="006C194E"/>
    <w:rsid w:val="006C1B5A"/>
    <w:rsid w:val="006C1CA5"/>
    <w:rsid w:val="006C2053"/>
    <w:rsid w:val="006C2176"/>
    <w:rsid w:val="006C230F"/>
    <w:rsid w:val="006C2411"/>
    <w:rsid w:val="006C25B1"/>
    <w:rsid w:val="006C2758"/>
    <w:rsid w:val="006C2957"/>
    <w:rsid w:val="006C295B"/>
    <w:rsid w:val="006C2970"/>
    <w:rsid w:val="006C299E"/>
    <w:rsid w:val="006C2C93"/>
    <w:rsid w:val="006C2CA6"/>
    <w:rsid w:val="006C2D5D"/>
    <w:rsid w:val="006C2E01"/>
    <w:rsid w:val="006C300F"/>
    <w:rsid w:val="006C30C2"/>
    <w:rsid w:val="006C32FE"/>
    <w:rsid w:val="006C348A"/>
    <w:rsid w:val="006C34D0"/>
    <w:rsid w:val="006C3878"/>
    <w:rsid w:val="006C3B19"/>
    <w:rsid w:val="006C3E73"/>
    <w:rsid w:val="006C3E96"/>
    <w:rsid w:val="006C4446"/>
    <w:rsid w:val="006C46DF"/>
    <w:rsid w:val="006C4942"/>
    <w:rsid w:val="006C5059"/>
    <w:rsid w:val="006C51F4"/>
    <w:rsid w:val="006C55D7"/>
    <w:rsid w:val="006C56A9"/>
    <w:rsid w:val="006C5B59"/>
    <w:rsid w:val="006C5B7D"/>
    <w:rsid w:val="006C5C75"/>
    <w:rsid w:val="006C5CCD"/>
    <w:rsid w:val="006C5D44"/>
    <w:rsid w:val="006C5E91"/>
    <w:rsid w:val="006C5F9F"/>
    <w:rsid w:val="006C614F"/>
    <w:rsid w:val="006C665A"/>
    <w:rsid w:val="006C6767"/>
    <w:rsid w:val="006C6A51"/>
    <w:rsid w:val="006C6E8C"/>
    <w:rsid w:val="006C6FC6"/>
    <w:rsid w:val="006C6FE1"/>
    <w:rsid w:val="006C7215"/>
    <w:rsid w:val="006C7481"/>
    <w:rsid w:val="006C7485"/>
    <w:rsid w:val="006C7582"/>
    <w:rsid w:val="006C7719"/>
    <w:rsid w:val="006C78DF"/>
    <w:rsid w:val="006C79FA"/>
    <w:rsid w:val="006C7A9E"/>
    <w:rsid w:val="006C7C0B"/>
    <w:rsid w:val="006C7D3E"/>
    <w:rsid w:val="006C7E7F"/>
    <w:rsid w:val="006C7E92"/>
    <w:rsid w:val="006C7FEA"/>
    <w:rsid w:val="006C7FFE"/>
    <w:rsid w:val="006D0157"/>
    <w:rsid w:val="006D0390"/>
    <w:rsid w:val="006D0753"/>
    <w:rsid w:val="006D0861"/>
    <w:rsid w:val="006D0997"/>
    <w:rsid w:val="006D0A8F"/>
    <w:rsid w:val="006D0A94"/>
    <w:rsid w:val="006D0AB9"/>
    <w:rsid w:val="006D0CE8"/>
    <w:rsid w:val="006D106F"/>
    <w:rsid w:val="006D110A"/>
    <w:rsid w:val="006D111C"/>
    <w:rsid w:val="006D1131"/>
    <w:rsid w:val="006D1164"/>
    <w:rsid w:val="006D12A5"/>
    <w:rsid w:val="006D13C3"/>
    <w:rsid w:val="006D13DE"/>
    <w:rsid w:val="006D1907"/>
    <w:rsid w:val="006D1917"/>
    <w:rsid w:val="006D19AD"/>
    <w:rsid w:val="006D1ADF"/>
    <w:rsid w:val="006D1C3B"/>
    <w:rsid w:val="006D1D74"/>
    <w:rsid w:val="006D21D1"/>
    <w:rsid w:val="006D2218"/>
    <w:rsid w:val="006D22C5"/>
    <w:rsid w:val="006D23FE"/>
    <w:rsid w:val="006D2425"/>
    <w:rsid w:val="006D2535"/>
    <w:rsid w:val="006D272F"/>
    <w:rsid w:val="006D2832"/>
    <w:rsid w:val="006D2A8D"/>
    <w:rsid w:val="006D2CDB"/>
    <w:rsid w:val="006D2D35"/>
    <w:rsid w:val="006D3106"/>
    <w:rsid w:val="006D38F3"/>
    <w:rsid w:val="006D3D84"/>
    <w:rsid w:val="006D4094"/>
    <w:rsid w:val="006D41DD"/>
    <w:rsid w:val="006D4492"/>
    <w:rsid w:val="006D44B3"/>
    <w:rsid w:val="006D455F"/>
    <w:rsid w:val="006D46C6"/>
    <w:rsid w:val="006D48CE"/>
    <w:rsid w:val="006D4C12"/>
    <w:rsid w:val="006D4CAF"/>
    <w:rsid w:val="006D4DCA"/>
    <w:rsid w:val="006D506B"/>
    <w:rsid w:val="006D51C1"/>
    <w:rsid w:val="006D52A7"/>
    <w:rsid w:val="006D52DF"/>
    <w:rsid w:val="006D533F"/>
    <w:rsid w:val="006D5354"/>
    <w:rsid w:val="006D53E6"/>
    <w:rsid w:val="006D5438"/>
    <w:rsid w:val="006D5726"/>
    <w:rsid w:val="006D574D"/>
    <w:rsid w:val="006D580A"/>
    <w:rsid w:val="006D59A3"/>
    <w:rsid w:val="006D5C6A"/>
    <w:rsid w:val="006D5E00"/>
    <w:rsid w:val="006D61E5"/>
    <w:rsid w:val="006D6366"/>
    <w:rsid w:val="006D6461"/>
    <w:rsid w:val="006D6475"/>
    <w:rsid w:val="006D66E3"/>
    <w:rsid w:val="006D6746"/>
    <w:rsid w:val="006D693C"/>
    <w:rsid w:val="006D6ACB"/>
    <w:rsid w:val="006D6C3E"/>
    <w:rsid w:val="006D6EBA"/>
    <w:rsid w:val="006D6F54"/>
    <w:rsid w:val="006D7409"/>
    <w:rsid w:val="006D773D"/>
    <w:rsid w:val="006D783A"/>
    <w:rsid w:val="006D7A0C"/>
    <w:rsid w:val="006D7A9F"/>
    <w:rsid w:val="006D7CB4"/>
    <w:rsid w:val="006D7EBF"/>
    <w:rsid w:val="006D7EFA"/>
    <w:rsid w:val="006E0109"/>
    <w:rsid w:val="006E02D5"/>
    <w:rsid w:val="006E057C"/>
    <w:rsid w:val="006E097B"/>
    <w:rsid w:val="006E09FE"/>
    <w:rsid w:val="006E0BE2"/>
    <w:rsid w:val="006E0D39"/>
    <w:rsid w:val="006E0D7B"/>
    <w:rsid w:val="006E0F60"/>
    <w:rsid w:val="006E16BF"/>
    <w:rsid w:val="006E17A2"/>
    <w:rsid w:val="006E1D13"/>
    <w:rsid w:val="006E1F4E"/>
    <w:rsid w:val="006E1FFE"/>
    <w:rsid w:val="006E2365"/>
    <w:rsid w:val="006E2864"/>
    <w:rsid w:val="006E2916"/>
    <w:rsid w:val="006E298D"/>
    <w:rsid w:val="006E2C08"/>
    <w:rsid w:val="006E2C29"/>
    <w:rsid w:val="006E2E5E"/>
    <w:rsid w:val="006E2F74"/>
    <w:rsid w:val="006E2FD2"/>
    <w:rsid w:val="006E2FF6"/>
    <w:rsid w:val="006E30B7"/>
    <w:rsid w:val="006E330A"/>
    <w:rsid w:val="006E3689"/>
    <w:rsid w:val="006E36F9"/>
    <w:rsid w:val="006E39BC"/>
    <w:rsid w:val="006E39DF"/>
    <w:rsid w:val="006E3C95"/>
    <w:rsid w:val="006E3CFD"/>
    <w:rsid w:val="006E4145"/>
    <w:rsid w:val="006E4293"/>
    <w:rsid w:val="006E4408"/>
    <w:rsid w:val="006E44DA"/>
    <w:rsid w:val="006E464E"/>
    <w:rsid w:val="006E4801"/>
    <w:rsid w:val="006E4828"/>
    <w:rsid w:val="006E4CF5"/>
    <w:rsid w:val="006E4E37"/>
    <w:rsid w:val="006E4E82"/>
    <w:rsid w:val="006E52D5"/>
    <w:rsid w:val="006E5367"/>
    <w:rsid w:val="006E55D2"/>
    <w:rsid w:val="006E5657"/>
    <w:rsid w:val="006E57AF"/>
    <w:rsid w:val="006E5A19"/>
    <w:rsid w:val="006E5B62"/>
    <w:rsid w:val="006E5B72"/>
    <w:rsid w:val="006E5BAE"/>
    <w:rsid w:val="006E63CA"/>
    <w:rsid w:val="006E679D"/>
    <w:rsid w:val="006E6847"/>
    <w:rsid w:val="006E69A3"/>
    <w:rsid w:val="006E6CE2"/>
    <w:rsid w:val="006E6E56"/>
    <w:rsid w:val="006E702B"/>
    <w:rsid w:val="006E7186"/>
    <w:rsid w:val="006E718D"/>
    <w:rsid w:val="006E7207"/>
    <w:rsid w:val="006E72F4"/>
    <w:rsid w:val="006E73B8"/>
    <w:rsid w:val="006E7646"/>
    <w:rsid w:val="006E78A2"/>
    <w:rsid w:val="006E7B60"/>
    <w:rsid w:val="006E7CD3"/>
    <w:rsid w:val="006E7D1C"/>
    <w:rsid w:val="006E7E49"/>
    <w:rsid w:val="006F0039"/>
    <w:rsid w:val="006F0088"/>
    <w:rsid w:val="006F0195"/>
    <w:rsid w:val="006F01A8"/>
    <w:rsid w:val="006F0836"/>
    <w:rsid w:val="006F09B3"/>
    <w:rsid w:val="006F09E8"/>
    <w:rsid w:val="006F0AF0"/>
    <w:rsid w:val="006F0AF9"/>
    <w:rsid w:val="006F0EE1"/>
    <w:rsid w:val="006F10D4"/>
    <w:rsid w:val="006F1233"/>
    <w:rsid w:val="006F12D6"/>
    <w:rsid w:val="006F132D"/>
    <w:rsid w:val="006F1507"/>
    <w:rsid w:val="006F1572"/>
    <w:rsid w:val="006F1669"/>
    <w:rsid w:val="006F171F"/>
    <w:rsid w:val="006F1733"/>
    <w:rsid w:val="006F17B2"/>
    <w:rsid w:val="006F1DF5"/>
    <w:rsid w:val="006F2120"/>
    <w:rsid w:val="006F215E"/>
    <w:rsid w:val="006F2342"/>
    <w:rsid w:val="006F24B4"/>
    <w:rsid w:val="006F2851"/>
    <w:rsid w:val="006F29DB"/>
    <w:rsid w:val="006F29F4"/>
    <w:rsid w:val="006F2A2A"/>
    <w:rsid w:val="006F2C66"/>
    <w:rsid w:val="006F2F94"/>
    <w:rsid w:val="006F30B3"/>
    <w:rsid w:val="006F30D6"/>
    <w:rsid w:val="006F3155"/>
    <w:rsid w:val="006F31C7"/>
    <w:rsid w:val="006F3286"/>
    <w:rsid w:val="006F32E3"/>
    <w:rsid w:val="006F3306"/>
    <w:rsid w:val="006F3494"/>
    <w:rsid w:val="006F356C"/>
    <w:rsid w:val="006F3678"/>
    <w:rsid w:val="006F3704"/>
    <w:rsid w:val="006F37C9"/>
    <w:rsid w:val="006F39AF"/>
    <w:rsid w:val="006F3A03"/>
    <w:rsid w:val="006F3B69"/>
    <w:rsid w:val="006F4140"/>
    <w:rsid w:val="006F4220"/>
    <w:rsid w:val="006F4636"/>
    <w:rsid w:val="006F48B2"/>
    <w:rsid w:val="006F495F"/>
    <w:rsid w:val="006F4AAD"/>
    <w:rsid w:val="006F4B39"/>
    <w:rsid w:val="006F4CE4"/>
    <w:rsid w:val="006F4DE5"/>
    <w:rsid w:val="006F4F1D"/>
    <w:rsid w:val="006F50B9"/>
    <w:rsid w:val="006F51B6"/>
    <w:rsid w:val="006F5438"/>
    <w:rsid w:val="006F5656"/>
    <w:rsid w:val="006F5691"/>
    <w:rsid w:val="006F584F"/>
    <w:rsid w:val="006F58A3"/>
    <w:rsid w:val="006F5A2E"/>
    <w:rsid w:val="006F5A71"/>
    <w:rsid w:val="006F5A8E"/>
    <w:rsid w:val="006F5B24"/>
    <w:rsid w:val="006F5BF1"/>
    <w:rsid w:val="006F5D6C"/>
    <w:rsid w:val="006F5FF2"/>
    <w:rsid w:val="006F6043"/>
    <w:rsid w:val="006F6053"/>
    <w:rsid w:val="006F6084"/>
    <w:rsid w:val="006F6412"/>
    <w:rsid w:val="006F649C"/>
    <w:rsid w:val="006F6552"/>
    <w:rsid w:val="006F6585"/>
    <w:rsid w:val="006F67F4"/>
    <w:rsid w:val="006F6917"/>
    <w:rsid w:val="006F6BB0"/>
    <w:rsid w:val="006F6E39"/>
    <w:rsid w:val="006F6F91"/>
    <w:rsid w:val="006F757C"/>
    <w:rsid w:val="006F7848"/>
    <w:rsid w:val="006F78A0"/>
    <w:rsid w:val="006F7AEF"/>
    <w:rsid w:val="00700004"/>
    <w:rsid w:val="0070001F"/>
    <w:rsid w:val="007001E5"/>
    <w:rsid w:val="007005E4"/>
    <w:rsid w:val="007007D1"/>
    <w:rsid w:val="007009A4"/>
    <w:rsid w:val="007009CC"/>
    <w:rsid w:val="007009E0"/>
    <w:rsid w:val="00700B77"/>
    <w:rsid w:val="00700DFD"/>
    <w:rsid w:val="00700EF2"/>
    <w:rsid w:val="007010FB"/>
    <w:rsid w:val="0070132C"/>
    <w:rsid w:val="007014A2"/>
    <w:rsid w:val="00701716"/>
    <w:rsid w:val="007017E6"/>
    <w:rsid w:val="00701829"/>
    <w:rsid w:val="00701978"/>
    <w:rsid w:val="00701E95"/>
    <w:rsid w:val="007020ED"/>
    <w:rsid w:val="0070235C"/>
    <w:rsid w:val="00702455"/>
    <w:rsid w:val="00702546"/>
    <w:rsid w:val="00702561"/>
    <w:rsid w:val="0070265F"/>
    <w:rsid w:val="00702BC5"/>
    <w:rsid w:val="00702FBD"/>
    <w:rsid w:val="00703049"/>
    <w:rsid w:val="00703328"/>
    <w:rsid w:val="00703427"/>
    <w:rsid w:val="007035EB"/>
    <w:rsid w:val="0070375A"/>
    <w:rsid w:val="007039DB"/>
    <w:rsid w:val="00703BAA"/>
    <w:rsid w:val="00703F4E"/>
    <w:rsid w:val="00704845"/>
    <w:rsid w:val="00704A5B"/>
    <w:rsid w:val="00704BC0"/>
    <w:rsid w:val="00704E55"/>
    <w:rsid w:val="00705085"/>
    <w:rsid w:val="00705288"/>
    <w:rsid w:val="0070532D"/>
    <w:rsid w:val="007053F9"/>
    <w:rsid w:val="007054CB"/>
    <w:rsid w:val="0070586E"/>
    <w:rsid w:val="0070592D"/>
    <w:rsid w:val="00705CAC"/>
    <w:rsid w:val="00705D8C"/>
    <w:rsid w:val="00705DF2"/>
    <w:rsid w:val="00705DFF"/>
    <w:rsid w:val="00705ED5"/>
    <w:rsid w:val="00706044"/>
    <w:rsid w:val="007060CD"/>
    <w:rsid w:val="007060F9"/>
    <w:rsid w:val="00706180"/>
    <w:rsid w:val="007063B2"/>
    <w:rsid w:val="007063D4"/>
    <w:rsid w:val="00706716"/>
    <w:rsid w:val="00706748"/>
    <w:rsid w:val="00706C3C"/>
    <w:rsid w:val="007072D5"/>
    <w:rsid w:val="0070754E"/>
    <w:rsid w:val="00707811"/>
    <w:rsid w:val="0070784E"/>
    <w:rsid w:val="00707AA3"/>
    <w:rsid w:val="00707B56"/>
    <w:rsid w:val="00707EA8"/>
    <w:rsid w:val="00707F56"/>
    <w:rsid w:val="00707F88"/>
    <w:rsid w:val="00707F89"/>
    <w:rsid w:val="00710313"/>
    <w:rsid w:val="0071069C"/>
    <w:rsid w:val="00710B3E"/>
    <w:rsid w:val="00710B57"/>
    <w:rsid w:val="00710B7D"/>
    <w:rsid w:val="00710D6C"/>
    <w:rsid w:val="0071106F"/>
    <w:rsid w:val="00711133"/>
    <w:rsid w:val="007112A0"/>
    <w:rsid w:val="007113BF"/>
    <w:rsid w:val="007114F2"/>
    <w:rsid w:val="007115EA"/>
    <w:rsid w:val="007117F5"/>
    <w:rsid w:val="0071183C"/>
    <w:rsid w:val="00711ABA"/>
    <w:rsid w:val="00711AE6"/>
    <w:rsid w:val="0071205D"/>
    <w:rsid w:val="0071234E"/>
    <w:rsid w:val="00712618"/>
    <w:rsid w:val="007127B5"/>
    <w:rsid w:val="00712A1F"/>
    <w:rsid w:val="00712A92"/>
    <w:rsid w:val="00712BA5"/>
    <w:rsid w:val="00712BF5"/>
    <w:rsid w:val="007133FC"/>
    <w:rsid w:val="00713459"/>
    <w:rsid w:val="0071345E"/>
    <w:rsid w:val="00713566"/>
    <w:rsid w:val="0071363B"/>
    <w:rsid w:val="00713659"/>
    <w:rsid w:val="007136DF"/>
    <w:rsid w:val="0071376B"/>
    <w:rsid w:val="00713A2B"/>
    <w:rsid w:val="00713BCF"/>
    <w:rsid w:val="00713EE2"/>
    <w:rsid w:val="00713F1F"/>
    <w:rsid w:val="0071445A"/>
    <w:rsid w:val="00714462"/>
    <w:rsid w:val="007144F4"/>
    <w:rsid w:val="00714566"/>
    <w:rsid w:val="007145AD"/>
    <w:rsid w:val="007146C2"/>
    <w:rsid w:val="0071491B"/>
    <w:rsid w:val="00714E1F"/>
    <w:rsid w:val="00714E23"/>
    <w:rsid w:val="007151C0"/>
    <w:rsid w:val="0071520C"/>
    <w:rsid w:val="00715516"/>
    <w:rsid w:val="007155F4"/>
    <w:rsid w:val="00715A03"/>
    <w:rsid w:val="00715A75"/>
    <w:rsid w:val="00715C1A"/>
    <w:rsid w:val="00715E06"/>
    <w:rsid w:val="0071606B"/>
    <w:rsid w:val="007161DF"/>
    <w:rsid w:val="007162A4"/>
    <w:rsid w:val="0071692D"/>
    <w:rsid w:val="0071713F"/>
    <w:rsid w:val="00717284"/>
    <w:rsid w:val="0071728E"/>
    <w:rsid w:val="007172BB"/>
    <w:rsid w:val="007172C1"/>
    <w:rsid w:val="0071734F"/>
    <w:rsid w:val="00717393"/>
    <w:rsid w:val="0071751B"/>
    <w:rsid w:val="00717B9E"/>
    <w:rsid w:val="00717C52"/>
    <w:rsid w:val="00717DD2"/>
    <w:rsid w:val="00717E33"/>
    <w:rsid w:val="00717E35"/>
    <w:rsid w:val="007200F5"/>
    <w:rsid w:val="007202B9"/>
    <w:rsid w:val="007204DE"/>
    <w:rsid w:val="00720530"/>
    <w:rsid w:val="00720870"/>
    <w:rsid w:val="007208B6"/>
    <w:rsid w:val="00720DAF"/>
    <w:rsid w:val="00721182"/>
    <w:rsid w:val="007213D9"/>
    <w:rsid w:val="0072158D"/>
    <w:rsid w:val="007216D5"/>
    <w:rsid w:val="007218F7"/>
    <w:rsid w:val="00721E73"/>
    <w:rsid w:val="00721EED"/>
    <w:rsid w:val="00721F0D"/>
    <w:rsid w:val="0072210D"/>
    <w:rsid w:val="00722174"/>
    <w:rsid w:val="0072223A"/>
    <w:rsid w:val="0072226E"/>
    <w:rsid w:val="007222CD"/>
    <w:rsid w:val="007223CD"/>
    <w:rsid w:val="00722612"/>
    <w:rsid w:val="007226EE"/>
    <w:rsid w:val="0072284C"/>
    <w:rsid w:val="00722AAA"/>
    <w:rsid w:val="00722D8C"/>
    <w:rsid w:val="007231C2"/>
    <w:rsid w:val="0072324D"/>
    <w:rsid w:val="00723297"/>
    <w:rsid w:val="00723318"/>
    <w:rsid w:val="007237A0"/>
    <w:rsid w:val="0072383A"/>
    <w:rsid w:val="00723BA0"/>
    <w:rsid w:val="00723C1F"/>
    <w:rsid w:val="00723FA9"/>
    <w:rsid w:val="00724024"/>
    <w:rsid w:val="0072448A"/>
    <w:rsid w:val="00724532"/>
    <w:rsid w:val="0072454B"/>
    <w:rsid w:val="00724751"/>
    <w:rsid w:val="0072479B"/>
    <w:rsid w:val="007247D6"/>
    <w:rsid w:val="00724C30"/>
    <w:rsid w:val="00724D3D"/>
    <w:rsid w:val="00724F33"/>
    <w:rsid w:val="00725097"/>
    <w:rsid w:val="007252C8"/>
    <w:rsid w:val="00725436"/>
    <w:rsid w:val="007257AE"/>
    <w:rsid w:val="007257BA"/>
    <w:rsid w:val="0072595B"/>
    <w:rsid w:val="00725A5A"/>
    <w:rsid w:val="00725AED"/>
    <w:rsid w:val="00725B61"/>
    <w:rsid w:val="00725CA3"/>
    <w:rsid w:val="00725D0D"/>
    <w:rsid w:val="00725E1B"/>
    <w:rsid w:val="00726003"/>
    <w:rsid w:val="0072603E"/>
    <w:rsid w:val="00726177"/>
    <w:rsid w:val="007261B7"/>
    <w:rsid w:val="0072629C"/>
    <w:rsid w:val="007263E8"/>
    <w:rsid w:val="00726AA3"/>
    <w:rsid w:val="00726D0E"/>
    <w:rsid w:val="00726F88"/>
    <w:rsid w:val="0072706A"/>
    <w:rsid w:val="007273BD"/>
    <w:rsid w:val="0072749F"/>
    <w:rsid w:val="007274B8"/>
    <w:rsid w:val="007274E4"/>
    <w:rsid w:val="007275C9"/>
    <w:rsid w:val="00727924"/>
    <w:rsid w:val="00727AE9"/>
    <w:rsid w:val="00727B11"/>
    <w:rsid w:val="00727B22"/>
    <w:rsid w:val="00727C34"/>
    <w:rsid w:val="00727CED"/>
    <w:rsid w:val="00727DAF"/>
    <w:rsid w:val="00727E06"/>
    <w:rsid w:val="0073016A"/>
    <w:rsid w:val="007302D1"/>
    <w:rsid w:val="007305F7"/>
    <w:rsid w:val="007308B0"/>
    <w:rsid w:val="007308FF"/>
    <w:rsid w:val="00730913"/>
    <w:rsid w:val="00730AD1"/>
    <w:rsid w:val="00730B31"/>
    <w:rsid w:val="00730B8F"/>
    <w:rsid w:val="00730DB4"/>
    <w:rsid w:val="00730DBB"/>
    <w:rsid w:val="00730DE2"/>
    <w:rsid w:val="00730E30"/>
    <w:rsid w:val="00730E71"/>
    <w:rsid w:val="00730EA9"/>
    <w:rsid w:val="00730F08"/>
    <w:rsid w:val="007313C0"/>
    <w:rsid w:val="0073149F"/>
    <w:rsid w:val="007315D5"/>
    <w:rsid w:val="00731709"/>
    <w:rsid w:val="007317DC"/>
    <w:rsid w:val="00731A9B"/>
    <w:rsid w:val="00731AF6"/>
    <w:rsid w:val="00731F52"/>
    <w:rsid w:val="00732081"/>
    <w:rsid w:val="00732151"/>
    <w:rsid w:val="00732285"/>
    <w:rsid w:val="00732419"/>
    <w:rsid w:val="0073272B"/>
    <w:rsid w:val="007329EA"/>
    <w:rsid w:val="00732B73"/>
    <w:rsid w:val="00732B80"/>
    <w:rsid w:val="007331DC"/>
    <w:rsid w:val="0073327E"/>
    <w:rsid w:val="0073327F"/>
    <w:rsid w:val="0073343E"/>
    <w:rsid w:val="00733B17"/>
    <w:rsid w:val="00733C4A"/>
    <w:rsid w:val="00733F20"/>
    <w:rsid w:val="00734231"/>
    <w:rsid w:val="00734268"/>
    <w:rsid w:val="0073439E"/>
    <w:rsid w:val="007344BA"/>
    <w:rsid w:val="00734584"/>
    <w:rsid w:val="0073479F"/>
    <w:rsid w:val="0073489F"/>
    <w:rsid w:val="00734AE3"/>
    <w:rsid w:val="00734BEF"/>
    <w:rsid w:val="00734DF7"/>
    <w:rsid w:val="00735240"/>
    <w:rsid w:val="00735363"/>
    <w:rsid w:val="007355AF"/>
    <w:rsid w:val="00735A29"/>
    <w:rsid w:val="00735F35"/>
    <w:rsid w:val="00735FB3"/>
    <w:rsid w:val="00736020"/>
    <w:rsid w:val="00736068"/>
    <w:rsid w:val="00736203"/>
    <w:rsid w:val="007363C6"/>
    <w:rsid w:val="007364F4"/>
    <w:rsid w:val="0073653C"/>
    <w:rsid w:val="007365A0"/>
    <w:rsid w:val="0073662D"/>
    <w:rsid w:val="007367DF"/>
    <w:rsid w:val="00736AEF"/>
    <w:rsid w:val="00736C31"/>
    <w:rsid w:val="007371EA"/>
    <w:rsid w:val="0073727A"/>
    <w:rsid w:val="00737514"/>
    <w:rsid w:val="00737755"/>
    <w:rsid w:val="0073787A"/>
    <w:rsid w:val="00737883"/>
    <w:rsid w:val="00737A8D"/>
    <w:rsid w:val="00737BBA"/>
    <w:rsid w:val="00737BEE"/>
    <w:rsid w:val="0074008F"/>
    <w:rsid w:val="007400B9"/>
    <w:rsid w:val="00740988"/>
    <w:rsid w:val="00740CF8"/>
    <w:rsid w:val="007416FE"/>
    <w:rsid w:val="007418B4"/>
    <w:rsid w:val="00741908"/>
    <w:rsid w:val="007419F4"/>
    <w:rsid w:val="00741A9F"/>
    <w:rsid w:val="00741AB6"/>
    <w:rsid w:val="00741D2A"/>
    <w:rsid w:val="00742202"/>
    <w:rsid w:val="00742620"/>
    <w:rsid w:val="0074285F"/>
    <w:rsid w:val="0074289D"/>
    <w:rsid w:val="0074298A"/>
    <w:rsid w:val="00742B3E"/>
    <w:rsid w:val="00742B8C"/>
    <w:rsid w:val="00742DF9"/>
    <w:rsid w:val="0074304F"/>
    <w:rsid w:val="0074323B"/>
    <w:rsid w:val="00743522"/>
    <w:rsid w:val="00743A89"/>
    <w:rsid w:val="00743B4A"/>
    <w:rsid w:val="00743CF6"/>
    <w:rsid w:val="00743DED"/>
    <w:rsid w:val="00743ED9"/>
    <w:rsid w:val="00743FB4"/>
    <w:rsid w:val="007440B6"/>
    <w:rsid w:val="007443B3"/>
    <w:rsid w:val="007443F1"/>
    <w:rsid w:val="007445A3"/>
    <w:rsid w:val="007445C4"/>
    <w:rsid w:val="00744823"/>
    <w:rsid w:val="00744C60"/>
    <w:rsid w:val="00744D68"/>
    <w:rsid w:val="00744D6A"/>
    <w:rsid w:val="00744EE7"/>
    <w:rsid w:val="00745432"/>
    <w:rsid w:val="007454B7"/>
    <w:rsid w:val="00745507"/>
    <w:rsid w:val="00745A0E"/>
    <w:rsid w:val="00745F20"/>
    <w:rsid w:val="00745FE9"/>
    <w:rsid w:val="00746010"/>
    <w:rsid w:val="00746175"/>
    <w:rsid w:val="00746183"/>
    <w:rsid w:val="00746273"/>
    <w:rsid w:val="00746364"/>
    <w:rsid w:val="00746492"/>
    <w:rsid w:val="00746696"/>
    <w:rsid w:val="007468C9"/>
    <w:rsid w:val="00746939"/>
    <w:rsid w:val="00746A5A"/>
    <w:rsid w:val="00746A93"/>
    <w:rsid w:val="00746E8B"/>
    <w:rsid w:val="0074701E"/>
    <w:rsid w:val="0074722B"/>
    <w:rsid w:val="00747428"/>
    <w:rsid w:val="0074752B"/>
    <w:rsid w:val="007476D5"/>
    <w:rsid w:val="0074772C"/>
    <w:rsid w:val="007477CB"/>
    <w:rsid w:val="0074781E"/>
    <w:rsid w:val="00747829"/>
    <w:rsid w:val="00747933"/>
    <w:rsid w:val="00747B65"/>
    <w:rsid w:val="00747C76"/>
    <w:rsid w:val="00747D42"/>
    <w:rsid w:val="00747F4A"/>
    <w:rsid w:val="00750355"/>
    <w:rsid w:val="00750598"/>
    <w:rsid w:val="0075068A"/>
    <w:rsid w:val="0075095D"/>
    <w:rsid w:val="00750B94"/>
    <w:rsid w:val="00750C18"/>
    <w:rsid w:val="00750CE3"/>
    <w:rsid w:val="00750E0A"/>
    <w:rsid w:val="00750E9F"/>
    <w:rsid w:val="00750F70"/>
    <w:rsid w:val="0075113C"/>
    <w:rsid w:val="00751684"/>
    <w:rsid w:val="00751858"/>
    <w:rsid w:val="00751BE0"/>
    <w:rsid w:val="00751DFF"/>
    <w:rsid w:val="00751EF6"/>
    <w:rsid w:val="0075207E"/>
    <w:rsid w:val="00752136"/>
    <w:rsid w:val="0075218F"/>
    <w:rsid w:val="007521DA"/>
    <w:rsid w:val="007521E8"/>
    <w:rsid w:val="0075233D"/>
    <w:rsid w:val="00752620"/>
    <w:rsid w:val="00752721"/>
    <w:rsid w:val="0075286C"/>
    <w:rsid w:val="00752B1A"/>
    <w:rsid w:val="0075313A"/>
    <w:rsid w:val="00753181"/>
    <w:rsid w:val="00753358"/>
    <w:rsid w:val="0075337A"/>
    <w:rsid w:val="007534A3"/>
    <w:rsid w:val="007534D8"/>
    <w:rsid w:val="007536F6"/>
    <w:rsid w:val="007536FF"/>
    <w:rsid w:val="007537A6"/>
    <w:rsid w:val="00753A1A"/>
    <w:rsid w:val="00753FF5"/>
    <w:rsid w:val="007542DF"/>
    <w:rsid w:val="00754548"/>
    <w:rsid w:val="0075457B"/>
    <w:rsid w:val="007546BE"/>
    <w:rsid w:val="00754777"/>
    <w:rsid w:val="00754794"/>
    <w:rsid w:val="007547A0"/>
    <w:rsid w:val="007548D6"/>
    <w:rsid w:val="0075497D"/>
    <w:rsid w:val="00754A9C"/>
    <w:rsid w:val="00754ABE"/>
    <w:rsid w:val="00755157"/>
    <w:rsid w:val="00755319"/>
    <w:rsid w:val="00755368"/>
    <w:rsid w:val="0075560F"/>
    <w:rsid w:val="00755A3E"/>
    <w:rsid w:val="00755ABB"/>
    <w:rsid w:val="00755E38"/>
    <w:rsid w:val="0075615F"/>
    <w:rsid w:val="007561FC"/>
    <w:rsid w:val="0075640D"/>
    <w:rsid w:val="0075642A"/>
    <w:rsid w:val="0075647B"/>
    <w:rsid w:val="007568C1"/>
    <w:rsid w:val="0075699A"/>
    <w:rsid w:val="00756D25"/>
    <w:rsid w:val="00757295"/>
    <w:rsid w:val="00757383"/>
    <w:rsid w:val="00757437"/>
    <w:rsid w:val="007575C2"/>
    <w:rsid w:val="00757692"/>
    <w:rsid w:val="007577A6"/>
    <w:rsid w:val="00757951"/>
    <w:rsid w:val="00757A62"/>
    <w:rsid w:val="00757B17"/>
    <w:rsid w:val="00757C5D"/>
    <w:rsid w:val="00757D53"/>
    <w:rsid w:val="00757D8E"/>
    <w:rsid w:val="00757ECA"/>
    <w:rsid w:val="00757ECF"/>
    <w:rsid w:val="00757EFE"/>
    <w:rsid w:val="00760239"/>
    <w:rsid w:val="007605CC"/>
    <w:rsid w:val="00760738"/>
    <w:rsid w:val="00760DFC"/>
    <w:rsid w:val="00760E45"/>
    <w:rsid w:val="0076129C"/>
    <w:rsid w:val="00761419"/>
    <w:rsid w:val="00761497"/>
    <w:rsid w:val="00761584"/>
    <w:rsid w:val="00761616"/>
    <w:rsid w:val="007617E6"/>
    <w:rsid w:val="007619E5"/>
    <w:rsid w:val="00761C58"/>
    <w:rsid w:val="00762108"/>
    <w:rsid w:val="00762115"/>
    <w:rsid w:val="0076255E"/>
    <w:rsid w:val="00762962"/>
    <w:rsid w:val="00762A25"/>
    <w:rsid w:val="00762B91"/>
    <w:rsid w:val="007630D9"/>
    <w:rsid w:val="00763111"/>
    <w:rsid w:val="00763138"/>
    <w:rsid w:val="0076313D"/>
    <w:rsid w:val="007632CA"/>
    <w:rsid w:val="007639B4"/>
    <w:rsid w:val="00763A0B"/>
    <w:rsid w:val="00763A65"/>
    <w:rsid w:val="00763DC1"/>
    <w:rsid w:val="00763E97"/>
    <w:rsid w:val="00763ECF"/>
    <w:rsid w:val="00763F15"/>
    <w:rsid w:val="00764152"/>
    <w:rsid w:val="007645A9"/>
    <w:rsid w:val="007645F2"/>
    <w:rsid w:val="00764654"/>
    <w:rsid w:val="007647C3"/>
    <w:rsid w:val="00764CE7"/>
    <w:rsid w:val="00764E40"/>
    <w:rsid w:val="00764F6E"/>
    <w:rsid w:val="0076518B"/>
    <w:rsid w:val="0076522D"/>
    <w:rsid w:val="00765721"/>
    <w:rsid w:val="00765735"/>
    <w:rsid w:val="00765ABD"/>
    <w:rsid w:val="00765D08"/>
    <w:rsid w:val="00765E13"/>
    <w:rsid w:val="00765E51"/>
    <w:rsid w:val="00766406"/>
    <w:rsid w:val="00766476"/>
    <w:rsid w:val="00766499"/>
    <w:rsid w:val="007666B4"/>
    <w:rsid w:val="00766835"/>
    <w:rsid w:val="00766B83"/>
    <w:rsid w:val="00766CAA"/>
    <w:rsid w:val="00766FE7"/>
    <w:rsid w:val="00766FE8"/>
    <w:rsid w:val="0076708A"/>
    <w:rsid w:val="007670B0"/>
    <w:rsid w:val="00767107"/>
    <w:rsid w:val="00767332"/>
    <w:rsid w:val="00767453"/>
    <w:rsid w:val="0076772B"/>
    <w:rsid w:val="00767878"/>
    <w:rsid w:val="00767AD0"/>
    <w:rsid w:val="00767DAF"/>
    <w:rsid w:val="00767DDC"/>
    <w:rsid w:val="00770439"/>
    <w:rsid w:val="00770894"/>
    <w:rsid w:val="00770A0B"/>
    <w:rsid w:val="00771271"/>
    <w:rsid w:val="00771623"/>
    <w:rsid w:val="00771C05"/>
    <w:rsid w:val="00771DB7"/>
    <w:rsid w:val="00772162"/>
    <w:rsid w:val="007728FC"/>
    <w:rsid w:val="00772917"/>
    <w:rsid w:val="007729E8"/>
    <w:rsid w:val="00772C8C"/>
    <w:rsid w:val="00772C99"/>
    <w:rsid w:val="00772FC6"/>
    <w:rsid w:val="00773003"/>
    <w:rsid w:val="00773123"/>
    <w:rsid w:val="00773360"/>
    <w:rsid w:val="0077347C"/>
    <w:rsid w:val="007734BF"/>
    <w:rsid w:val="0077377E"/>
    <w:rsid w:val="007737B2"/>
    <w:rsid w:val="00773DA6"/>
    <w:rsid w:val="00773F74"/>
    <w:rsid w:val="00773F8C"/>
    <w:rsid w:val="00774357"/>
    <w:rsid w:val="00774370"/>
    <w:rsid w:val="00774602"/>
    <w:rsid w:val="00774618"/>
    <w:rsid w:val="00774863"/>
    <w:rsid w:val="007748CE"/>
    <w:rsid w:val="00774BF7"/>
    <w:rsid w:val="00774EF8"/>
    <w:rsid w:val="007750B9"/>
    <w:rsid w:val="0077526A"/>
    <w:rsid w:val="00775289"/>
    <w:rsid w:val="007754BF"/>
    <w:rsid w:val="00775729"/>
    <w:rsid w:val="0077580C"/>
    <w:rsid w:val="007759AF"/>
    <w:rsid w:val="00775AC0"/>
    <w:rsid w:val="00775EAD"/>
    <w:rsid w:val="00775EE2"/>
    <w:rsid w:val="00775F69"/>
    <w:rsid w:val="0077625F"/>
    <w:rsid w:val="00776377"/>
    <w:rsid w:val="00776386"/>
    <w:rsid w:val="00776694"/>
    <w:rsid w:val="00776A05"/>
    <w:rsid w:val="00776D9B"/>
    <w:rsid w:val="007776FC"/>
    <w:rsid w:val="0077788C"/>
    <w:rsid w:val="0077789A"/>
    <w:rsid w:val="007778D0"/>
    <w:rsid w:val="0077799F"/>
    <w:rsid w:val="00777AC7"/>
    <w:rsid w:val="00777ADB"/>
    <w:rsid w:val="00777DA5"/>
    <w:rsid w:val="00777DC5"/>
    <w:rsid w:val="00777F12"/>
    <w:rsid w:val="0078011D"/>
    <w:rsid w:val="007801F9"/>
    <w:rsid w:val="0078023A"/>
    <w:rsid w:val="00780326"/>
    <w:rsid w:val="0078052E"/>
    <w:rsid w:val="00780802"/>
    <w:rsid w:val="00780AD9"/>
    <w:rsid w:val="00780C4F"/>
    <w:rsid w:val="00780C76"/>
    <w:rsid w:val="00780ED5"/>
    <w:rsid w:val="00780F0D"/>
    <w:rsid w:val="00780F9B"/>
    <w:rsid w:val="00780FE6"/>
    <w:rsid w:val="0078107A"/>
    <w:rsid w:val="007811D0"/>
    <w:rsid w:val="0078135A"/>
    <w:rsid w:val="00781616"/>
    <w:rsid w:val="00781664"/>
    <w:rsid w:val="007817DB"/>
    <w:rsid w:val="007818E1"/>
    <w:rsid w:val="00781A45"/>
    <w:rsid w:val="00781E64"/>
    <w:rsid w:val="00781E6D"/>
    <w:rsid w:val="0078217B"/>
    <w:rsid w:val="00782411"/>
    <w:rsid w:val="007826C5"/>
    <w:rsid w:val="00782AC0"/>
    <w:rsid w:val="00782CEF"/>
    <w:rsid w:val="00782D63"/>
    <w:rsid w:val="00782DBB"/>
    <w:rsid w:val="00782DEA"/>
    <w:rsid w:val="00782EF1"/>
    <w:rsid w:val="00783208"/>
    <w:rsid w:val="00783276"/>
    <w:rsid w:val="00783361"/>
    <w:rsid w:val="00783637"/>
    <w:rsid w:val="007837A8"/>
    <w:rsid w:val="00783BEC"/>
    <w:rsid w:val="00783C0A"/>
    <w:rsid w:val="00783DB8"/>
    <w:rsid w:val="00783DF1"/>
    <w:rsid w:val="00783EE7"/>
    <w:rsid w:val="00783FCC"/>
    <w:rsid w:val="00784174"/>
    <w:rsid w:val="007841DF"/>
    <w:rsid w:val="0078430C"/>
    <w:rsid w:val="00784313"/>
    <w:rsid w:val="00784368"/>
    <w:rsid w:val="00784573"/>
    <w:rsid w:val="0078463A"/>
    <w:rsid w:val="007847EB"/>
    <w:rsid w:val="0078488D"/>
    <w:rsid w:val="007849DA"/>
    <w:rsid w:val="00784A94"/>
    <w:rsid w:val="00784B0D"/>
    <w:rsid w:val="00784D58"/>
    <w:rsid w:val="00784E01"/>
    <w:rsid w:val="00784F21"/>
    <w:rsid w:val="00785101"/>
    <w:rsid w:val="00785243"/>
    <w:rsid w:val="0078561A"/>
    <w:rsid w:val="00785DC6"/>
    <w:rsid w:val="00785EEE"/>
    <w:rsid w:val="0078606A"/>
    <w:rsid w:val="007861C5"/>
    <w:rsid w:val="0078622E"/>
    <w:rsid w:val="00786358"/>
    <w:rsid w:val="007863E5"/>
    <w:rsid w:val="00786693"/>
    <w:rsid w:val="00786792"/>
    <w:rsid w:val="00786983"/>
    <w:rsid w:val="00786CC0"/>
    <w:rsid w:val="00787586"/>
    <w:rsid w:val="007876CB"/>
    <w:rsid w:val="0078777B"/>
    <w:rsid w:val="00787B2C"/>
    <w:rsid w:val="00787B31"/>
    <w:rsid w:val="00787C43"/>
    <w:rsid w:val="00787C4A"/>
    <w:rsid w:val="00787C8D"/>
    <w:rsid w:val="00787DAB"/>
    <w:rsid w:val="00787F3D"/>
    <w:rsid w:val="00790543"/>
    <w:rsid w:val="0079063F"/>
    <w:rsid w:val="00790885"/>
    <w:rsid w:val="00790AC8"/>
    <w:rsid w:val="00790E1F"/>
    <w:rsid w:val="00790F17"/>
    <w:rsid w:val="00791020"/>
    <w:rsid w:val="00791248"/>
    <w:rsid w:val="007912FB"/>
    <w:rsid w:val="00791410"/>
    <w:rsid w:val="007915D9"/>
    <w:rsid w:val="00791926"/>
    <w:rsid w:val="00791A84"/>
    <w:rsid w:val="00791ACE"/>
    <w:rsid w:val="00791B39"/>
    <w:rsid w:val="00791D3D"/>
    <w:rsid w:val="00791F2C"/>
    <w:rsid w:val="007920D5"/>
    <w:rsid w:val="007921EF"/>
    <w:rsid w:val="00792365"/>
    <w:rsid w:val="00792743"/>
    <w:rsid w:val="0079299A"/>
    <w:rsid w:val="00792A50"/>
    <w:rsid w:val="00792C3C"/>
    <w:rsid w:val="00792CDE"/>
    <w:rsid w:val="0079309B"/>
    <w:rsid w:val="007930EA"/>
    <w:rsid w:val="007932CD"/>
    <w:rsid w:val="00793503"/>
    <w:rsid w:val="00793703"/>
    <w:rsid w:val="00793AD3"/>
    <w:rsid w:val="00793B99"/>
    <w:rsid w:val="00793F48"/>
    <w:rsid w:val="00793F63"/>
    <w:rsid w:val="00793FA0"/>
    <w:rsid w:val="00794137"/>
    <w:rsid w:val="007942F2"/>
    <w:rsid w:val="00794480"/>
    <w:rsid w:val="0079456E"/>
    <w:rsid w:val="00794639"/>
    <w:rsid w:val="007946BC"/>
    <w:rsid w:val="00794950"/>
    <w:rsid w:val="00794971"/>
    <w:rsid w:val="007949C0"/>
    <w:rsid w:val="00794A46"/>
    <w:rsid w:val="00794D64"/>
    <w:rsid w:val="00794E11"/>
    <w:rsid w:val="00794F72"/>
    <w:rsid w:val="00794FA2"/>
    <w:rsid w:val="0079531F"/>
    <w:rsid w:val="00795379"/>
    <w:rsid w:val="007953C9"/>
    <w:rsid w:val="0079541B"/>
    <w:rsid w:val="007954A5"/>
    <w:rsid w:val="00795783"/>
    <w:rsid w:val="007958F0"/>
    <w:rsid w:val="00795CBC"/>
    <w:rsid w:val="00795F2D"/>
    <w:rsid w:val="00796087"/>
    <w:rsid w:val="00796367"/>
    <w:rsid w:val="00796577"/>
    <w:rsid w:val="007965CD"/>
    <w:rsid w:val="00796A46"/>
    <w:rsid w:val="00796C98"/>
    <w:rsid w:val="00796DBA"/>
    <w:rsid w:val="007970B6"/>
    <w:rsid w:val="00797431"/>
    <w:rsid w:val="007974A5"/>
    <w:rsid w:val="0079757B"/>
    <w:rsid w:val="0079780D"/>
    <w:rsid w:val="007979B5"/>
    <w:rsid w:val="00797AD0"/>
    <w:rsid w:val="00797CFF"/>
    <w:rsid w:val="00797D14"/>
    <w:rsid w:val="007A000B"/>
    <w:rsid w:val="007A0058"/>
    <w:rsid w:val="007A01C2"/>
    <w:rsid w:val="007A02DA"/>
    <w:rsid w:val="007A03B7"/>
    <w:rsid w:val="007A0453"/>
    <w:rsid w:val="007A05B0"/>
    <w:rsid w:val="007A08C3"/>
    <w:rsid w:val="007A0944"/>
    <w:rsid w:val="007A0A8C"/>
    <w:rsid w:val="007A0C1A"/>
    <w:rsid w:val="007A0C5C"/>
    <w:rsid w:val="007A0DB9"/>
    <w:rsid w:val="007A10CA"/>
    <w:rsid w:val="007A17F2"/>
    <w:rsid w:val="007A1AA8"/>
    <w:rsid w:val="007A1C43"/>
    <w:rsid w:val="007A1D3F"/>
    <w:rsid w:val="007A20A4"/>
    <w:rsid w:val="007A20CB"/>
    <w:rsid w:val="007A2489"/>
    <w:rsid w:val="007A265B"/>
    <w:rsid w:val="007A26FD"/>
    <w:rsid w:val="007A2710"/>
    <w:rsid w:val="007A2734"/>
    <w:rsid w:val="007A274E"/>
    <w:rsid w:val="007A2759"/>
    <w:rsid w:val="007A2817"/>
    <w:rsid w:val="007A2923"/>
    <w:rsid w:val="007A2E33"/>
    <w:rsid w:val="007A2ECE"/>
    <w:rsid w:val="007A33A4"/>
    <w:rsid w:val="007A376A"/>
    <w:rsid w:val="007A3972"/>
    <w:rsid w:val="007A398A"/>
    <w:rsid w:val="007A3A02"/>
    <w:rsid w:val="007A3C56"/>
    <w:rsid w:val="007A3E00"/>
    <w:rsid w:val="007A4027"/>
    <w:rsid w:val="007A4066"/>
    <w:rsid w:val="007A4624"/>
    <w:rsid w:val="007A4634"/>
    <w:rsid w:val="007A4A21"/>
    <w:rsid w:val="007A4AB4"/>
    <w:rsid w:val="007A4C07"/>
    <w:rsid w:val="007A4CD4"/>
    <w:rsid w:val="007A4E8A"/>
    <w:rsid w:val="007A5491"/>
    <w:rsid w:val="007A579C"/>
    <w:rsid w:val="007A594E"/>
    <w:rsid w:val="007A5A3C"/>
    <w:rsid w:val="007A6011"/>
    <w:rsid w:val="007A6238"/>
    <w:rsid w:val="007A64C7"/>
    <w:rsid w:val="007A6CA3"/>
    <w:rsid w:val="007A6CCE"/>
    <w:rsid w:val="007A6E45"/>
    <w:rsid w:val="007A7141"/>
    <w:rsid w:val="007A72A6"/>
    <w:rsid w:val="007A7492"/>
    <w:rsid w:val="007A751B"/>
    <w:rsid w:val="007A7529"/>
    <w:rsid w:val="007A75C0"/>
    <w:rsid w:val="007A7658"/>
    <w:rsid w:val="007A76F8"/>
    <w:rsid w:val="007A77A6"/>
    <w:rsid w:val="007A77BA"/>
    <w:rsid w:val="007A77E7"/>
    <w:rsid w:val="007A7C12"/>
    <w:rsid w:val="007A7CAE"/>
    <w:rsid w:val="007A7CF8"/>
    <w:rsid w:val="007A7D11"/>
    <w:rsid w:val="007A7D91"/>
    <w:rsid w:val="007A7EBA"/>
    <w:rsid w:val="007A7ED0"/>
    <w:rsid w:val="007A7ED6"/>
    <w:rsid w:val="007A7F73"/>
    <w:rsid w:val="007B017A"/>
    <w:rsid w:val="007B01A8"/>
    <w:rsid w:val="007B0561"/>
    <w:rsid w:val="007B0843"/>
    <w:rsid w:val="007B0A46"/>
    <w:rsid w:val="007B0C1E"/>
    <w:rsid w:val="007B0D80"/>
    <w:rsid w:val="007B0DB7"/>
    <w:rsid w:val="007B0F05"/>
    <w:rsid w:val="007B0F7B"/>
    <w:rsid w:val="007B1028"/>
    <w:rsid w:val="007B1495"/>
    <w:rsid w:val="007B162B"/>
    <w:rsid w:val="007B18BD"/>
    <w:rsid w:val="007B1ED8"/>
    <w:rsid w:val="007B1EE7"/>
    <w:rsid w:val="007B20AA"/>
    <w:rsid w:val="007B20E5"/>
    <w:rsid w:val="007B2343"/>
    <w:rsid w:val="007B256C"/>
    <w:rsid w:val="007B261C"/>
    <w:rsid w:val="007B2C36"/>
    <w:rsid w:val="007B2DA2"/>
    <w:rsid w:val="007B318F"/>
    <w:rsid w:val="007B31CC"/>
    <w:rsid w:val="007B330E"/>
    <w:rsid w:val="007B35D8"/>
    <w:rsid w:val="007B38D1"/>
    <w:rsid w:val="007B3E13"/>
    <w:rsid w:val="007B3EC2"/>
    <w:rsid w:val="007B3FC1"/>
    <w:rsid w:val="007B403F"/>
    <w:rsid w:val="007B4232"/>
    <w:rsid w:val="007B431F"/>
    <w:rsid w:val="007B45AA"/>
    <w:rsid w:val="007B49D0"/>
    <w:rsid w:val="007B4A12"/>
    <w:rsid w:val="007B4BE5"/>
    <w:rsid w:val="007B4BEA"/>
    <w:rsid w:val="007B4D06"/>
    <w:rsid w:val="007B4F91"/>
    <w:rsid w:val="007B50A2"/>
    <w:rsid w:val="007B51B2"/>
    <w:rsid w:val="007B533C"/>
    <w:rsid w:val="007B5528"/>
    <w:rsid w:val="007B55C2"/>
    <w:rsid w:val="007B59E8"/>
    <w:rsid w:val="007B5A8A"/>
    <w:rsid w:val="007B5AF4"/>
    <w:rsid w:val="007B5B36"/>
    <w:rsid w:val="007B5D12"/>
    <w:rsid w:val="007B5E02"/>
    <w:rsid w:val="007B5E16"/>
    <w:rsid w:val="007B6264"/>
    <w:rsid w:val="007B631A"/>
    <w:rsid w:val="007B662E"/>
    <w:rsid w:val="007B66DF"/>
    <w:rsid w:val="007B6987"/>
    <w:rsid w:val="007B69DF"/>
    <w:rsid w:val="007B69F5"/>
    <w:rsid w:val="007B6A69"/>
    <w:rsid w:val="007B6D09"/>
    <w:rsid w:val="007B6E33"/>
    <w:rsid w:val="007B6EA1"/>
    <w:rsid w:val="007B6FE3"/>
    <w:rsid w:val="007B70A6"/>
    <w:rsid w:val="007B71B8"/>
    <w:rsid w:val="007B71CF"/>
    <w:rsid w:val="007B72D7"/>
    <w:rsid w:val="007B7383"/>
    <w:rsid w:val="007B75B7"/>
    <w:rsid w:val="007B77EB"/>
    <w:rsid w:val="007B79CF"/>
    <w:rsid w:val="007B7A43"/>
    <w:rsid w:val="007B7BEF"/>
    <w:rsid w:val="007B7CAB"/>
    <w:rsid w:val="007C01F8"/>
    <w:rsid w:val="007C0302"/>
    <w:rsid w:val="007C0639"/>
    <w:rsid w:val="007C06DF"/>
    <w:rsid w:val="007C0996"/>
    <w:rsid w:val="007C0C07"/>
    <w:rsid w:val="007C0DB3"/>
    <w:rsid w:val="007C0F5A"/>
    <w:rsid w:val="007C0FF1"/>
    <w:rsid w:val="007C117B"/>
    <w:rsid w:val="007C1258"/>
    <w:rsid w:val="007C12F7"/>
    <w:rsid w:val="007C15D7"/>
    <w:rsid w:val="007C1B22"/>
    <w:rsid w:val="007C1B58"/>
    <w:rsid w:val="007C1C54"/>
    <w:rsid w:val="007C1CB2"/>
    <w:rsid w:val="007C1F31"/>
    <w:rsid w:val="007C217E"/>
    <w:rsid w:val="007C2415"/>
    <w:rsid w:val="007C2894"/>
    <w:rsid w:val="007C2E28"/>
    <w:rsid w:val="007C2E99"/>
    <w:rsid w:val="007C2F58"/>
    <w:rsid w:val="007C2FD8"/>
    <w:rsid w:val="007C317B"/>
    <w:rsid w:val="007C31F6"/>
    <w:rsid w:val="007C33CE"/>
    <w:rsid w:val="007C340C"/>
    <w:rsid w:val="007C3620"/>
    <w:rsid w:val="007C3761"/>
    <w:rsid w:val="007C3A60"/>
    <w:rsid w:val="007C4028"/>
    <w:rsid w:val="007C403F"/>
    <w:rsid w:val="007C439A"/>
    <w:rsid w:val="007C4443"/>
    <w:rsid w:val="007C4596"/>
    <w:rsid w:val="007C4667"/>
    <w:rsid w:val="007C4706"/>
    <w:rsid w:val="007C4804"/>
    <w:rsid w:val="007C4899"/>
    <w:rsid w:val="007C48FD"/>
    <w:rsid w:val="007C49D9"/>
    <w:rsid w:val="007C4E4E"/>
    <w:rsid w:val="007C53AB"/>
    <w:rsid w:val="007C53FE"/>
    <w:rsid w:val="007C558F"/>
    <w:rsid w:val="007C5700"/>
    <w:rsid w:val="007C57E5"/>
    <w:rsid w:val="007C5C5C"/>
    <w:rsid w:val="007C5C61"/>
    <w:rsid w:val="007C5D90"/>
    <w:rsid w:val="007C5DB0"/>
    <w:rsid w:val="007C5FA5"/>
    <w:rsid w:val="007C6237"/>
    <w:rsid w:val="007C669B"/>
    <w:rsid w:val="007C66B0"/>
    <w:rsid w:val="007C6B12"/>
    <w:rsid w:val="007C6D14"/>
    <w:rsid w:val="007C6D61"/>
    <w:rsid w:val="007C6DFF"/>
    <w:rsid w:val="007C7101"/>
    <w:rsid w:val="007C71A4"/>
    <w:rsid w:val="007C721A"/>
    <w:rsid w:val="007C7226"/>
    <w:rsid w:val="007C7523"/>
    <w:rsid w:val="007C7538"/>
    <w:rsid w:val="007C7760"/>
    <w:rsid w:val="007C7896"/>
    <w:rsid w:val="007C78C9"/>
    <w:rsid w:val="007D0024"/>
    <w:rsid w:val="007D0084"/>
    <w:rsid w:val="007D0110"/>
    <w:rsid w:val="007D0160"/>
    <w:rsid w:val="007D01C1"/>
    <w:rsid w:val="007D0496"/>
    <w:rsid w:val="007D0627"/>
    <w:rsid w:val="007D075F"/>
    <w:rsid w:val="007D086F"/>
    <w:rsid w:val="007D0B85"/>
    <w:rsid w:val="007D0CC9"/>
    <w:rsid w:val="007D118A"/>
    <w:rsid w:val="007D136D"/>
    <w:rsid w:val="007D1486"/>
    <w:rsid w:val="007D15C8"/>
    <w:rsid w:val="007D1616"/>
    <w:rsid w:val="007D195F"/>
    <w:rsid w:val="007D1B7F"/>
    <w:rsid w:val="007D1FE1"/>
    <w:rsid w:val="007D2125"/>
    <w:rsid w:val="007D2157"/>
    <w:rsid w:val="007D253B"/>
    <w:rsid w:val="007D2876"/>
    <w:rsid w:val="007D2B9C"/>
    <w:rsid w:val="007D2C28"/>
    <w:rsid w:val="007D2F76"/>
    <w:rsid w:val="007D2FF7"/>
    <w:rsid w:val="007D30C8"/>
    <w:rsid w:val="007D3253"/>
    <w:rsid w:val="007D34A8"/>
    <w:rsid w:val="007D35F1"/>
    <w:rsid w:val="007D3686"/>
    <w:rsid w:val="007D383B"/>
    <w:rsid w:val="007D3AE5"/>
    <w:rsid w:val="007D3BAD"/>
    <w:rsid w:val="007D3C6F"/>
    <w:rsid w:val="007D3CBC"/>
    <w:rsid w:val="007D3EA7"/>
    <w:rsid w:val="007D4098"/>
    <w:rsid w:val="007D4657"/>
    <w:rsid w:val="007D4A15"/>
    <w:rsid w:val="007D4A2D"/>
    <w:rsid w:val="007D4B09"/>
    <w:rsid w:val="007D4C16"/>
    <w:rsid w:val="007D4D2F"/>
    <w:rsid w:val="007D4DC0"/>
    <w:rsid w:val="007D4EED"/>
    <w:rsid w:val="007D5273"/>
    <w:rsid w:val="007D5463"/>
    <w:rsid w:val="007D54C3"/>
    <w:rsid w:val="007D56AC"/>
    <w:rsid w:val="007D5795"/>
    <w:rsid w:val="007D58AE"/>
    <w:rsid w:val="007D597A"/>
    <w:rsid w:val="007D59DA"/>
    <w:rsid w:val="007D5A96"/>
    <w:rsid w:val="007D5B6D"/>
    <w:rsid w:val="007D5E2E"/>
    <w:rsid w:val="007D60AA"/>
    <w:rsid w:val="007D60FB"/>
    <w:rsid w:val="007D62A4"/>
    <w:rsid w:val="007D63B6"/>
    <w:rsid w:val="007D6526"/>
    <w:rsid w:val="007D6650"/>
    <w:rsid w:val="007D6789"/>
    <w:rsid w:val="007D6808"/>
    <w:rsid w:val="007D683C"/>
    <w:rsid w:val="007D69FB"/>
    <w:rsid w:val="007D703E"/>
    <w:rsid w:val="007D74B4"/>
    <w:rsid w:val="007D79A1"/>
    <w:rsid w:val="007D7BA6"/>
    <w:rsid w:val="007D7BC9"/>
    <w:rsid w:val="007D7C82"/>
    <w:rsid w:val="007D7E54"/>
    <w:rsid w:val="007E004E"/>
    <w:rsid w:val="007E0376"/>
    <w:rsid w:val="007E087D"/>
    <w:rsid w:val="007E0A34"/>
    <w:rsid w:val="007E0BDC"/>
    <w:rsid w:val="007E0C05"/>
    <w:rsid w:val="007E0C65"/>
    <w:rsid w:val="007E0DB7"/>
    <w:rsid w:val="007E102D"/>
    <w:rsid w:val="007E1203"/>
    <w:rsid w:val="007E1454"/>
    <w:rsid w:val="007E16D0"/>
    <w:rsid w:val="007E1843"/>
    <w:rsid w:val="007E1DE7"/>
    <w:rsid w:val="007E1F8B"/>
    <w:rsid w:val="007E1FEF"/>
    <w:rsid w:val="007E23CB"/>
    <w:rsid w:val="007E2400"/>
    <w:rsid w:val="007E2452"/>
    <w:rsid w:val="007E2573"/>
    <w:rsid w:val="007E2639"/>
    <w:rsid w:val="007E2819"/>
    <w:rsid w:val="007E292C"/>
    <w:rsid w:val="007E297D"/>
    <w:rsid w:val="007E2D68"/>
    <w:rsid w:val="007E2ED8"/>
    <w:rsid w:val="007E3168"/>
    <w:rsid w:val="007E31E1"/>
    <w:rsid w:val="007E3410"/>
    <w:rsid w:val="007E3500"/>
    <w:rsid w:val="007E3550"/>
    <w:rsid w:val="007E35CB"/>
    <w:rsid w:val="007E3894"/>
    <w:rsid w:val="007E3A03"/>
    <w:rsid w:val="007E3A5B"/>
    <w:rsid w:val="007E3CA1"/>
    <w:rsid w:val="007E40C1"/>
    <w:rsid w:val="007E40CC"/>
    <w:rsid w:val="007E40F4"/>
    <w:rsid w:val="007E4130"/>
    <w:rsid w:val="007E4278"/>
    <w:rsid w:val="007E44E1"/>
    <w:rsid w:val="007E4692"/>
    <w:rsid w:val="007E4B3E"/>
    <w:rsid w:val="007E4C03"/>
    <w:rsid w:val="007E4DBF"/>
    <w:rsid w:val="007E4E10"/>
    <w:rsid w:val="007E5159"/>
    <w:rsid w:val="007E52F7"/>
    <w:rsid w:val="007E5321"/>
    <w:rsid w:val="007E5688"/>
    <w:rsid w:val="007E5819"/>
    <w:rsid w:val="007E5A18"/>
    <w:rsid w:val="007E5D20"/>
    <w:rsid w:val="007E5D68"/>
    <w:rsid w:val="007E5F17"/>
    <w:rsid w:val="007E5FFD"/>
    <w:rsid w:val="007E607E"/>
    <w:rsid w:val="007E64FB"/>
    <w:rsid w:val="007E6878"/>
    <w:rsid w:val="007E6B03"/>
    <w:rsid w:val="007E6CE8"/>
    <w:rsid w:val="007E6DF6"/>
    <w:rsid w:val="007E7014"/>
    <w:rsid w:val="007E719F"/>
    <w:rsid w:val="007E72AB"/>
    <w:rsid w:val="007E7565"/>
    <w:rsid w:val="007E783C"/>
    <w:rsid w:val="007E7A1C"/>
    <w:rsid w:val="007E7B3B"/>
    <w:rsid w:val="007E7B58"/>
    <w:rsid w:val="007E7D1D"/>
    <w:rsid w:val="007E7D6B"/>
    <w:rsid w:val="007F007E"/>
    <w:rsid w:val="007F02C2"/>
    <w:rsid w:val="007F02D7"/>
    <w:rsid w:val="007F0F29"/>
    <w:rsid w:val="007F141B"/>
    <w:rsid w:val="007F152C"/>
    <w:rsid w:val="007F1531"/>
    <w:rsid w:val="007F169B"/>
    <w:rsid w:val="007F19B7"/>
    <w:rsid w:val="007F1A7B"/>
    <w:rsid w:val="007F1BC4"/>
    <w:rsid w:val="007F1BF3"/>
    <w:rsid w:val="007F1C49"/>
    <w:rsid w:val="007F1C55"/>
    <w:rsid w:val="007F1CBB"/>
    <w:rsid w:val="007F1F32"/>
    <w:rsid w:val="007F2017"/>
    <w:rsid w:val="007F2053"/>
    <w:rsid w:val="007F2082"/>
    <w:rsid w:val="007F20CB"/>
    <w:rsid w:val="007F22D6"/>
    <w:rsid w:val="007F248F"/>
    <w:rsid w:val="007F24F0"/>
    <w:rsid w:val="007F2995"/>
    <w:rsid w:val="007F29E5"/>
    <w:rsid w:val="007F2A3C"/>
    <w:rsid w:val="007F2A67"/>
    <w:rsid w:val="007F2FBA"/>
    <w:rsid w:val="007F30E3"/>
    <w:rsid w:val="007F3304"/>
    <w:rsid w:val="007F3537"/>
    <w:rsid w:val="007F3D95"/>
    <w:rsid w:val="007F3EE4"/>
    <w:rsid w:val="007F3F2F"/>
    <w:rsid w:val="007F3F70"/>
    <w:rsid w:val="007F3FB0"/>
    <w:rsid w:val="007F4074"/>
    <w:rsid w:val="007F40E3"/>
    <w:rsid w:val="007F41E7"/>
    <w:rsid w:val="007F43F8"/>
    <w:rsid w:val="007F4507"/>
    <w:rsid w:val="007F480B"/>
    <w:rsid w:val="007F480C"/>
    <w:rsid w:val="007F49F7"/>
    <w:rsid w:val="007F4AD5"/>
    <w:rsid w:val="007F4D57"/>
    <w:rsid w:val="007F4EAC"/>
    <w:rsid w:val="007F50F4"/>
    <w:rsid w:val="007F5430"/>
    <w:rsid w:val="007F54C8"/>
    <w:rsid w:val="007F55DB"/>
    <w:rsid w:val="007F55F6"/>
    <w:rsid w:val="007F58C8"/>
    <w:rsid w:val="007F59D0"/>
    <w:rsid w:val="007F5CCE"/>
    <w:rsid w:val="007F5D94"/>
    <w:rsid w:val="007F5F2C"/>
    <w:rsid w:val="007F5F9F"/>
    <w:rsid w:val="007F61FC"/>
    <w:rsid w:val="007F635C"/>
    <w:rsid w:val="007F646F"/>
    <w:rsid w:val="007F69F1"/>
    <w:rsid w:val="007F6D3F"/>
    <w:rsid w:val="007F6FB8"/>
    <w:rsid w:val="007F70EC"/>
    <w:rsid w:val="007F732C"/>
    <w:rsid w:val="007F7482"/>
    <w:rsid w:val="007F76E1"/>
    <w:rsid w:val="007F7952"/>
    <w:rsid w:val="007F7EED"/>
    <w:rsid w:val="007F7FF0"/>
    <w:rsid w:val="008000E0"/>
    <w:rsid w:val="00800176"/>
    <w:rsid w:val="008001F4"/>
    <w:rsid w:val="008006AD"/>
    <w:rsid w:val="008007C8"/>
    <w:rsid w:val="00800988"/>
    <w:rsid w:val="00800DA9"/>
    <w:rsid w:val="00800DD1"/>
    <w:rsid w:val="00801190"/>
    <w:rsid w:val="0080130A"/>
    <w:rsid w:val="008013CE"/>
    <w:rsid w:val="008014F2"/>
    <w:rsid w:val="00801759"/>
    <w:rsid w:val="00801B1D"/>
    <w:rsid w:val="00801BB5"/>
    <w:rsid w:val="00801C23"/>
    <w:rsid w:val="00801DE1"/>
    <w:rsid w:val="00801EC1"/>
    <w:rsid w:val="00801F97"/>
    <w:rsid w:val="00801FCA"/>
    <w:rsid w:val="00801FF3"/>
    <w:rsid w:val="00802056"/>
    <w:rsid w:val="00802113"/>
    <w:rsid w:val="008021C8"/>
    <w:rsid w:val="00802445"/>
    <w:rsid w:val="00802769"/>
    <w:rsid w:val="0080281E"/>
    <w:rsid w:val="0080299D"/>
    <w:rsid w:val="00802DF9"/>
    <w:rsid w:val="00802FD8"/>
    <w:rsid w:val="008032C0"/>
    <w:rsid w:val="00803336"/>
    <w:rsid w:val="00803395"/>
    <w:rsid w:val="008038C3"/>
    <w:rsid w:val="008039F5"/>
    <w:rsid w:val="00803CAA"/>
    <w:rsid w:val="008040B0"/>
    <w:rsid w:val="0080411A"/>
    <w:rsid w:val="0080468B"/>
    <w:rsid w:val="008048DA"/>
    <w:rsid w:val="00804C51"/>
    <w:rsid w:val="00804F70"/>
    <w:rsid w:val="008051EA"/>
    <w:rsid w:val="00805200"/>
    <w:rsid w:val="0080525B"/>
    <w:rsid w:val="00805360"/>
    <w:rsid w:val="00805385"/>
    <w:rsid w:val="008053B0"/>
    <w:rsid w:val="008054BB"/>
    <w:rsid w:val="00805547"/>
    <w:rsid w:val="008057B0"/>
    <w:rsid w:val="00805940"/>
    <w:rsid w:val="008059D6"/>
    <w:rsid w:val="00805A48"/>
    <w:rsid w:val="00805D0F"/>
    <w:rsid w:val="008064E6"/>
    <w:rsid w:val="00806751"/>
    <w:rsid w:val="008067EE"/>
    <w:rsid w:val="00806B5D"/>
    <w:rsid w:val="00806D38"/>
    <w:rsid w:val="00806F37"/>
    <w:rsid w:val="00807348"/>
    <w:rsid w:val="00807D29"/>
    <w:rsid w:val="00807D38"/>
    <w:rsid w:val="00807F2E"/>
    <w:rsid w:val="00810394"/>
    <w:rsid w:val="00810579"/>
    <w:rsid w:val="008109AA"/>
    <w:rsid w:val="00810A5E"/>
    <w:rsid w:val="00810AF4"/>
    <w:rsid w:val="00810C1B"/>
    <w:rsid w:val="00810C2B"/>
    <w:rsid w:val="00810E8A"/>
    <w:rsid w:val="00811269"/>
    <w:rsid w:val="008112AF"/>
    <w:rsid w:val="0081142F"/>
    <w:rsid w:val="00811557"/>
    <w:rsid w:val="008117AA"/>
    <w:rsid w:val="00811811"/>
    <w:rsid w:val="0081191A"/>
    <w:rsid w:val="008119EB"/>
    <w:rsid w:val="00811A9B"/>
    <w:rsid w:val="00811C31"/>
    <w:rsid w:val="00811EA8"/>
    <w:rsid w:val="00811FE3"/>
    <w:rsid w:val="00812237"/>
    <w:rsid w:val="008122FD"/>
    <w:rsid w:val="0081231E"/>
    <w:rsid w:val="00812D01"/>
    <w:rsid w:val="00812D82"/>
    <w:rsid w:val="00812E18"/>
    <w:rsid w:val="00812EB4"/>
    <w:rsid w:val="00812EDF"/>
    <w:rsid w:val="0081324F"/>
    <w:rsid w:val="00813323"/>
    <w:rsid w:val="008133E2"/>
    <w:rsid w:val="008133F8"/>
    <w:rsid w:val="008137C3"/>
    <w:rsid w:val="00813CA3"/>
    <w:rsid w:val="00814043"/>
    <w:rsid w:val="0081420A"/>
    <w:rsid w:val="008146A1"/>
    <w:rsid w:val="00814773"/>
    <w:rsid w:val="00814B1B"/>
    <w:rsid w:val="00814DF0"/>
    <w:rsid w:val="0081505F"/>
    <w:rsid w:val="00815085"/>
    <w:rsid w:val="008150EF"/>
    <w:rsid w:val="00815143"/>
    <w:rsid w:val="008155A1"/>
    <w:rsid w:val="00815787"/>
    <w:rsid w:val="00815A54"/>
    <w:rsid w:val="00815AE4"/>
    <w:rsid w:val="00815BF8"/>
    <w:rsid w:val="00815D07"/>
    <w:rsid w:val="00815E7B"/>
    <w:rsid w:val="0081619D"/>
    <w:rsid w:val="008163D0"/>
    <w:rsid w:val="008165CD"/>
    <w:rsid w:val="00816888"/>
    <w:rsid w:val="00816970"/>
    <w:rsid w:val="00816BD0"/>
    <w:rsid w:val="00816C7E"/>
    <w:rsid w:val="00816F35"/>
    <w:rsid w:val="00817124"/>
    <w:rsid w:val="008171B9"/>
    <w:rsid w:val="00817267"/>
    <w:rsid w:val="00817280"/>
    <w:rsid w:val="0081747F"/>
    <w:rsid w:val="00817526"/>
    <w:rsid w:val="00817784"/>
    <w:rsid w:val="00817918"/>
    <w:rsid w:val="00817A34"/>
    <w:rsid w:val="00820073"/>
    <w:rsid w:val="00820108"/>
    <w:rsid w:val="00820158"/>
    <w:rsid w:val="00820166"/>
    <w:rsid w:val="008203AC"/>
    <w:rsid w:val="008204E0"/>
    <w:rsid w:val="008206E3"/>
    <w:rsid w:val="00820A5A"/>
    <w:rsid w:val="00820B6D"/>
    <w:rsid w:val="00820F55"/>
    <w:rsid w:val="008211DA"/>
    <w:rsid w:val="00821317"/>
    <w:rsid w:val="0082133F"/>
    <w:rsid w:val="00821372"/>
    <w:rsid w:val="00821663"/>
    <w:rsid w:val="0082192B"/>
    <w:rsid w:val="008221EC"/>
    <w:rsid w:val="00822276"/>
    <w:rsid w:val="0082249E"/>
    <w:rsid w:val="00822820"/>
    <w:rsid w:val="008229F1"/>
    <w:rsid w:val="00823294"/>
    <w:rsid w:val="008236BF"/>
    <w:rsid w:val="008236EC"/>
    <w:rsid w:val="0082389B"/>
    <w:rsid w:val="00823935"/>
    <w:rsid w:val="00823C27"/>
    <w:rsid w:val="00823C65"/>
    <w:rsid w:val="00823E83"/>
    <w:rsid w:val="00823EE9"/>
    <w:rsid w:val="008241E0"/>
    <w:rsid w:val="00824867"/>
    <w:rsid w:val="00824AEC"/>
    <w:rsid w:val="00824B43"/>
    <w:rsid w:val="00824BDA"/>
    <w:rsid w:val="00824D54"/>
    <w:rsid w:val="00824DD2"/>
    <w:rsid w:val="00824FEF"/>
    <w:rsid w:val="00825911"/>
    <w:rsid w:val="00825B55"/>
    <w:rsid w:val="00825BD0"/>
    <w:rsid w:val="00825C5F"/>
    <w:rsid w:val="00825CC0"/>
    <w:rsid w:val="00825DF1"/>
    <w:rsid w:val="00826149"/>
    <w:rsid w:val="00826840"/>
    <w:rsid w:val="00826919"/>
    <w:rsid w:val="00826C4E"/>
    <w:rsid w:val="00826F9B"/>
    <w:rsid w:val="00827003"/>
    <w:rsid w:val="0082758D"/>
    <w:rsid w:val="0082765B"/>
    <w:rsid w:val="0082778A"/>
    <w:rsid w:val="008277C2"/>
    <w:rsid w:val="00827979"/>
    <w:rsid w:val="00827AF8"/>
    <w:rsid w:val="00827C6F"/>
    <w:rsid w:val="00827CB4"/>
    <w:rsid w:val="00827DAE"/>
    <w:rsid w:val="008300D9"/>
    <w:rsid w:val="008302E7"/>
    <w:rsid w:val="00830587"/>
    <w:rsid w:val="008307A9"/>
    <w:rsid w:val="00830994"/>
    <w:rsid w:val="008309E2"/>
    <w:rsid w:val="008309E8"/>
    <w:rsid w:val="00830D45"/>
    <w:rsid w:val="00830EF6"/>
    <w:rsid w:val="00830F19"/>
    <w:rsid w:val="00830F70"/>
    <w:rsid w:val="00830FE6"/>
    <w:rsid w:val="0083108E"/>
    <w:rsid w:val="0083121E"/>
    <w:rsid w:val="0083129C"/>
    <w:rsid w:val="008312D4"/>
    <w:rsid w:val="0083172B"/>
    <w:rsid w:val="00831959"/>
    <w:rsid w:val="008319CA"/>
    <w:rsid w:val="00831F94"/>
    <w:rsid w:val="00832012"/>
    <w:rsid w:val="00832199"/>
    <w:rsid w:val="008324BF"/>
    <w:rsid w:val="00832611"/>
    <w:rsid w:val="0083274D"/>
    <w:rsid w:val="008329BB"/>
    <w:rsid w:val="00832B75"/>
    <w:rsid w:val="00832C0F"/>
    <w:rsid w:val="00832CCB"/>
    <w:rsid w:val="0083300D"/>
    <w:rsid w:val="00833025"/>
    <w:rsid w:val="0083316F"/>
    <w:rsid w:val="00833278"/>
    <w:rsid w:val="008335AD"/>
    <w:rsid w:val="008335EC"/>
    <w:rsid w:val="0083363A"/>
    <w:rsid w:val="008337DC"/>
    <w:rsid w:val="008337E0"/>
    <w:rsid w:val="00833810"/>
    <w:rsid w:val="0083388D"/>
    <w:rsid w:val="008338F7"/>
    <w:rsid w:val="008339E7"/>
    <w:rsid w:val="00833B22"/>
    <w:rsid w:val="00833F00"/>
    <w:rsid w:val="008341E1"/>
    <w:rsid w:val="00834457"/>
    <w:rsid w:val="008345A4"/>
    <w:rsid w:val="0083474D"/>
    <w:rsid w:val="0083481F"/>
    <w:rsid w:val="008348B5"/>
    <w:rsid w:val="00834919"/>
    <w:rsid w:val="00834A38"/>
    <w:rsid w:val="00834BF8"/>
    <w:rsid w:val="00834EC2"/>
    <w:rsid w:val="008352BF"/>
    <w:rsid w:val="008352C3"/>
    <w:rsid w:val="0083535E"/>
    <w:rsid w:val="00835451"/>
    <w:rsid w:val="0083548B"/>
    <w:rsid w:val="008354DD"/>
    <w:rsid w:val="008356B0"/>
    <w:rsid w:val="0083599B"/>
    <w:rsid w:val="00835A9C"/>
    <w:rsid w:val="00835B09"/>
    <w:rsid w:val="00835FF4"/>
    <w:rsid w:val="00836008"/>
    <w:rsid w:val="008361DA"/>
    <w:rsid w:val="00836335"/>
    <w:rsid w:val="00836644"/>
    <w:rsid w:val="008368AA"/>
    <w:rsid w:val="008369EE"/>
    <w:rsid w:val="00836DA8"/>
    <w:rsid w:val="00836EF1"/>
    <w:rsid w:val="00836F37"/>
    <w:rsid w:val="0083712B"/>
    <w:rsid w:val="00837215"/>
    <w:rsid w:val="0083730F"/>
    <w:rsid w:val="008375BE"/>
    <w:rsid w:val="00837829"/>
    <w:rsid w:val="008379AA"/>
    <w:rsid w:val="00837A31"/>
    <w:rsid w:val="00837D13"/>
    <w:rsid w:val="00837EB0"/>
    <w:rsid w:val="00840088"/>
    <w:rsid w:val="0084016D"/>
    <w:rsid w:val="008402B3"/>
    <w:rsid w:val="0084054D"/>
    <w:rsid w:val="00840660"/>
    <w:rsid w:val="008406C6"/>
    <w:rsid w:val="0084074F"/>
    <w:rsid w:val="00840770"/>
    <w:rsid w:val="00841100"/>
    <w:rsid w:val="008412AE"/>
    <w:rsid w:val="00841318"/>
    <w:rsid w:val="0084142E"/>
    <w:rsid w:val="00841450"/>
    <w:rsid w:val="008416CE"/>
    <w:rsid w:val="00841751"/>
    <w:rsid w:val="008418D3"/>
    <w:rsid w:val="00841C76"/>
    <w:rsid w:val="00841CC2"/>
    <w:rsid w:val="00841FDF"/>
    <w:rsid w:val="00842195"/>
    <w:rsid w:val="008421A1"/>
    <w:rsid w:val="008426CF"/>
    <w:rsid w:val="00842BB5"/>
    <w:rsid w:val="00842C08"/>
    <w:rsid w:val="00842CAB"/>
    <w:rsid w:val="00842EAC"/>
    <w:rsid w:val="00842F19"/>
    <w:rsid w:val="008430DF"/>
    <w:rsid w:val="00843282"/>
    <w:rsid w:val="008434D3"/>
    <w:rsid w:val="00843718"/>
    <w:rsid w:val="00843731"/>
    <w:rsid w:val="00843864"/>
    <w:rsid w:val="00843909"/>
    <w:rsid w:val="00843933"/>
    <w:rsid w:val="008439BC"/>
    <w:rsid w:val="00843B92"/>
    <w:rsid w:val="00843F31"/>
    <w:rsid w:val="00844014"/>
    <w:rsid w:val="008440A5"/>
    <w:rsid w:val="00844222"/>
    <w:rsid w:val="0084435D"/>
    <w:rsid w:val="0084454A"/>
    <w:rsid w:val="008446BD"/>
    <w:rsid w:val="00844CD2"/>
    <w:rsid w:val="00844DE1"/>
    <w:rsid w:val="00844E7A"/>
    <w:rsid w:val="008452C1"/>
    <w:rsid w:val="00845322"/>
    <w:rsid w:val="008453DB"/>
    <w:rsid w:val="00845895"/>
    <w:rsid w:val="00845C30"/>
    <w:rsid w:val="00845D53"/>
    <w:rsid w:val="008461B3"/>
    <w:rsid w:val="008461D1"/>
    <w:rsid w:val="0084642F"/>
    <w:rsid w:val="0084675E"/>
    <w:rsid w:val="00846777"/>
    <w:rsid w:val="00846861"/>
    <w:rsid w:val="008469D2"/>
    <w:rsid w:val="00846A0A"/>
    <w:rsid w:val="00846DC6"/>
    <w:rsid w:val="00847107"/>
    <w:rsid w:val="0084727A"/>
    <w:rsid w:val="00847453"/>
    <w:rsid w:val="00847588"/>
    <w:rsid w:val="008475AB"/>
    <w:rsid w:val="008477AD"/>
    <w:rsid w:val="00847BE6"/>
    <w:rsid w:val="00847ED4"/>
    <w:rsid w:val="0085008B"/>
    <w:rsid w:val="008501B2"/>
    <w:rsid w:val="008503B3"/>
    <w:rsid w:val="00850816"/>
    <w:rsid w:val="0085093A"/>
    <w:rsid w:val="00850AD0"/>
    <w:rsid w:val="00850B73"/>
    <w:rsid w:val="0085154D"/>
    <w:rsid w:val="008517F6"/>
    <w:rsid w:val="00851834"/>
    <w:rsid w:val="00851902"/>
    <w:rsid w:val="0085199E"/>
    <w:rsid w:val="00851E7C"/>
    <w:rsid w:val="00851EBF"/>
    <w:rsid w:val="00851EDA"/>
    <w:rsid w:val="008523A9"/>
    <w:rsid w:val="0085261E"/>
    <w:rsid w:val="008526D1"/>
    <w:rsid w:val="00852729"/>
    <w:rsid w:val="008527C1"/>
    <w:rsid w:val="00852974"/>
    <w:rsid w:val="00852995"/>
    <w:rsid w:val="00852BA3"/>
    <w:rsid w:val="00852BB8"/>
    <w:rsid w:val="00852D2B"/>
    <w:rsid w:val="00852E58"/>
    <w:rsid w:val="00853001"/>
    <w:rsid w:val="00853147"/>
    <w:rsid w:val="008531D3"/>
    <w:rsid w:val="008532B8"/>
    <w:rsid w:val="00853346"/>
    <w:rsid w:val="0085350E"/>
    <w:rsid w:val="008535A5"/>
    <w:rsid w:val="00853747"/>
    <w:rsid w:val="00853752"/>
    <w:rsid w:val="00853767"/>
    <w:rsid w:val="008539C2"/>
    <w:rsid w:val="00853D55"/>
    <w:rsid w:val="00853DC9"/>
    <w:rsid w:val="00853DEA"/>
    <w:rsid w:val="00853EF3"/>
    <w:rsid w:val="00853FE2"/>
    <w:rsid w:val="008540D2"/>
    <w:rsid w:val="008540E9"/>
    <w:rsid w:val="0085419C"/>
    <w:rsid w:val="00854232"/>
    <w:rsid w:val="00854607"/>
    <w:rsid w:val="008546BC"/>
    <w:rsid w:val="00854701"/>
    <w:rsid w:val="00854B66"/>
    <w:rsid w:val="00854DB7"/>
    <w:rsid w:val="00854E5B"/>
    <w:rsid w:val="00854FF9"/>
    <w:rsid w:val="0085530B"/>
    <w:rsid w:val="008554E0"/>
    <w:rsid w:val="00855803"/>
    <w:rsid w:val="008559C3"/>
    <w:rsid w:val="00855AF1"/>
    <w:rsid w:val="00855B16"/>
    <w:rsid w:val="00855BF3"/>
    <w:rsid w:val="00855CD4"/>
    <w:rsid w:val="00855DF7"/>
    <w:rsid w:val="00855ED3"/>
    <w:rsid w:val="00856200"/>
    <w:rsid w:val="008562C5"/>
    <w:rsid w:val="0085653B"/>
    <w:rsid w:val="008566E1"/>
    <w:rsid w:val="00856754"/>
    <w:rsid w:val="0085679B"/>
    <w:rsid w:val="0085686C"/>
    <w:rsid w:val="00856CCF"/>
    <w:rsid w:val="008570FC"/>
    <w:rsid w:val="008572A7"/>
    <w:rsid w:val="0085796F"/>
    <w:rsid w:val="008579DD"/>
    <w:rsid w:val="00857B6F"/>
    <w:rsid w:val="00857ED8"/>
    <w:rsid w:val="00857F43"/>
    <w:rsid w:val="00857F9C"/>
    <w:rsid w:val="00860073"/>
    <w:rsid w:val="0086010C"/>
    <w:rsid w:val="00860222"/>
    <w:rsid w:val="008602DD"/>
    <w:rsid w:val="008602F4"/>
    <w:rsid w:val="008605DD"/>
    <w:rsid w:val="00860637"/>
    <w:rsid w:val="0086078C"/>
    <w:rsid w:val="008608BA"/>
    <w:rsid w:val="0086093D"/>
    <w:rsid w:val="00860A77"/>
    <w:rsid w:val="00860E1A"/>
    <w:rsid w:val="00861009"/>
    <w:rsid w:val="008611A5"/>
    <w:rsid w:val="008611F8"/>
    <w:rsid w:val="008612F3"/>
    <w:rsid w:val="00861383"/>
    <w:rsid w:val="00861540"/>
    <w:rsid w:val="008615C1"/>
    <w:rsid w:val="008618D5"/>
    <w:rsid w:val="00861AE5"/>
    <w:rsid w:val="00861B9B"/>
    <w:rsid w:val="00861BEB"/>
    <w:rsid w:val="00861CB9"/>
    <w:rsid w:val="00861CE2"/>
    <w:rsid w:val="00861DCC"/>
    <w:rsid w:val="00861EBF"/>
    <w:rsid w:val="00862595"/>
    <w:rsid w:val="008626F4"/>
    <w:rsid w:val="008630AF"/>
    <w:rsid w:val="008633E4"/>
    <w:rsid w:val="0086378E"/>
    <w:rsid w:val="00863B40"/>
    <w:rsid w:val="00863C03"/>
    <w:rsid w:val="00863DF0"/>
    <w:rsid w:val="00863F7F"/>
    <w:rsid w:val="00863FFA"/>
    <w:rsid w:val="0086447D"/>
    <w:rsid w:val="0086461E"/>
    <w:rsid w:val="00864644"/>
    <w:rsid w:val="00864893"/>
    <w:rsid w:val="00864A77"/>
    <w:rsid w:val="00864D0A"/>
    <w:rsid w:val="00865320"/>
    <w:rsid w:val="0086549C"/>
    <w:rsid w:val="0086585C"/>
    <w:rsid w:val="008658EF"/>
    <w:rsid w:val="0086590E"/>
    <w:rsid w:val="00865959"/>
    <w:rsid w:val="00865C35"/>
    <w:rsid w:val="00865DF7"/>
    <w:rsid w:val="00865F7C"/>
    <w:rsid w:val="00866001"/>
    <w:rsid w:val="0086619F"/>
    <w:rsid w:val="00866865"/>
    <w:rsid w:val="00866DFC"/>
    <w:rsid w:val="00867018"/>
    <w:rsid w:val="00867100"/>
    <w:rsid w:val="00867187"/>
    <w:rsid w:val="008674FA"/>
    <w:rsid w:val="00867576"/>
    <w:rsid w:val="00867661"/>
    <w:rsid w:val="00867723"/>
    <w:rsid w:val="008679E9"/>
    <w:rsid w:val="00867A29"/>
    <w:rsid w:val="00867B13"/>
    <w:rsid w:val="00867E09"/>
    <w:rsid w:val="008701EE"/>
    <w:rsid w:val="008703B4"/>
    <w:rsid w:val="0087099B"/>
    <w:rsid w:val="00870B95"/>
    <w:rsid w:val="00870E4F"/>
    <w:rsid w:val="0087142B"/>
    <w:rsid w:val="0087175D"/>
    <w:rsid w:val="00871764"/>
    <w:rsid w:val="00871787"/>
    <w:rsid w:val="008719F6"/>
    <w:rsid w:val="00871AAD"/>
    <w:rsid w:val="00871CC8"/>
    <w:rsid w:val="00871E8B"/>
    <w:rsid w:val="0087210F"/>
    <w:rsid w:val="0087213E"/>
    <w:rsid w:val="00872295"/>
    <w:rsid w:val="00872DA6"/>
    <w:rsid w:val="00872E59"/>
    <w:rsid w:val="00873394"/>
    <w:rsid w:val="008733CB"/>
    <w:rsid w:val="00873621"/>
    <w:rsid w:val="00873740"/>
    <w:rsid w:val="00873A14"/>
    <w:rsid w:val="00873B24"/>
    <w:rsid w:val="00873C2D"/>
    <w:rsid w:val="00873FB7"/>
    <w:rsid w:val="0087418E"/>
    <w:rsid w:val="0087431D"/>
    <w:rsid w:val="00874728"/>
    <w:rsid w:val="0087495B"/>
    <w:rsid w:val="008749F0"/>
    <w:rsid w:val="00874A1D"/>
    <w:rsid w:val="00874A39"/>
    <w:rsid w:val="00874BD3"/>
    <w:rsid w:val="00874C99"/>
    <w:rsid w:val="00874DD9"/>
    <w:rsid w:val="00874F21"/>
    <w:rsid w:val="00874FB1"/>
    <w:rsid w:val="008753A1"/>
    <w:rsid w:val="00875437"/>
    <w:rsid w:val="008755C3"/>
    <w:rsid w:val="00875711"/>
    <w:rsid w:val="008759ED"/>
    <w:rsid w:val="00875A80"/>
    <w:rsid w:val="00875DC1"/>
    <w:rsid w:val="00875DD7"/>
    <w:rsid w:val="00875E8F"/>
    <w:rsid w:val="00875EB7"/>
    <w:rsid w:val="00876098"/>
    <w:rsid w:val="00876224"/>
    <w:rsid w:val="008763D4"/>
    <w:rsid w:val="008766C6"/>
    <w:rsid w:val="008767DE"/>
    <w:rsid w:val="00876A32"/>
    <w:rsid w:val="00876CEF"/>
    <w:rsid w:val="00876EF3"/>
    <w:rsid w:val="00876F38"/>
    <w:rsid w:val="0087726C"/>
    <w:rsid w:val="0087757D"/>
    <w:rsid w:val="00877619"/>
    <w:rsid w:val="0087762F"/>
    <w:rsid w:val="00877746"/>
    <w:rsid w:val="00877844"/>
    <w:rsid w:val="00877866"/>
    <w:rsid w:val="00877A39"/>
    <w:rsid w:val="00877A87"/>
    <w:rsid w:val="00877ACC"/>
    <w:rsid w:val="00877B98"/>
    <w:rsid w:val="00877C19"/>
    <w:rsid w:val="00877C73"/>
    <w:rsid w:val="008800BE"/>
    <w:rsid w:val="0088043A"/>
    <w:rsid w:val="0088062A"/>
    <w:rsid w:val="00880670"/>
    <w:rsid w:val="00880763"/>
    <w:rsid w:val="00880771"/>
    <w:rsid w:val="00880797"/>
    <w:rsid w:val="008807DA"/>
    <w:rsid w:val="0088086F"/>
    <w:rsid w:val="008808DE"/>
    <w:rsid w:val="00880A05"/>
    <w:rsid w:val="00880D90"/>
    <w:rsid w:val="00880E2C"/>
    <w:rsid w:val="00880F17"/>
    <w:rsid w:val="00880FA0"/>
    <w:rsid w:val="00880FA7"/>
    <w:rsid w:val="00880FEA"/>
    <w:rsid w:val="008810E4"/>
    <w:rsid w:val="00881174"/>
    <w:rsid w:val="00881345"/>
    <w:rsid w:val="008813CC"/>
    <w:rsid w:val="008816B5"/>
    <w:rsid w:val="0088177C"/>
    <w:rsid w:val="008819B9"/>
    <w:rsid w:val="00881ADD"/>
    <w:rsid w:val="00881D25"/>
    <w:rsid w:val="00881E0E"/>
    <w:rsid w:val="00881EC1"/>
    <w:rsid w:val="00881EC7"/>
    <w:rsid w:val="00881F2D"/>
    <w:rsid w:val="008822A6"/>
    <w:rsid w:val="008822BA"/>
    <w:rsid w:val="008824D1"/>
    <w:rsid w:val="00882623"/>
    <w:rsid w:val="008829FF"/>
    <w:rsid w:val="00882AFF"/>
    <w:rsid w:val="008837AD"/>
    <w:rsid w:val="008839E0"/>
    <w:rsid w:val="00884007"/>
    <w:rsid w:val="0088420B"/>
    <w:rsid w:val="0088437C"/>
    <w:rsid w:val="0088439F"/>
    <w:rsid w:val="008844AA"/>
    <w:rsid w:val="008844C4"/>
    <w:rsid w:val="008845E4"/>
    <w:rsid w:val="00884695"/>
    <w:rsid w:val="008848E9"/>
    <w:rsid w:val="00884B6A"/>
    <w:rsid w:val="00884CF8"/>
    <w:rsid w:val="00884D0A"/>
    <w:rsid w:val="00884F82"/>
    <w:rsid w:val="008851EE"/>
    <w:rsid w:val="008852E8"/>
    <w:rsid w:val="0088530A"/>
    <w:rsid w:val="0088530F"/>
    <w:rsid w:val="008855A8"/>
    <w:rsid w:val="0088563D"/>
    <w:rsid w:val="00885675"/>
    <w:rsid w:val="00885976"/>
    <w:rsid w:val="008859F7"/>
    <w:rsid w:val="00885C65"/>
    <w:rsid w:val="00885CAC"/>
    <w:rsid w:val="00885D8A"/>
    <w:rsid w:val="00885DD4"/>
    <w:rsid w:val="00886162"/>
    <w:rsid w:val="008861DA"/>
    <w:rsid w:val="00886282"/>
    <w:rsid w:val="00886322"/>
    <w:rsid w:val="008865EB"/>
    <w:rsid w:val="00886943"/>
    <w:rsid w:val="00886E85"/>
    <w:rsid w:val="00886E88"/>
    <w:rsid w:val="00886FB8"/>
    <w:rsid w:val="00887085"/>
    <w:rsid w:val="00887325"/>
    <w:rsid w:val="008878F3"/>
    <w:rsid w:val="0088791C"/>
    <w:rsid w:val="00887999"/>
    <w:rsid w:val="00887B83"/>
    <w:rsid w:val="00887EC7"/>
    <w:rsid w:val="00887ECB"/>
    <w:rsid w:val="00887ED5"/>
    <w:rsid w:val="00890069"/>
    <w:rsid w:val="0089052F"/>
    <w:rsid w:val="0089082D"/>
    <w:rsid w:val="0089102B"/>
    <w:rsid w:val="008910F4"/>
    <w:rsid w:val="00891518"/>
    <w:rsid w:val="008916E4"/>
    <w:rsid w:val="00891705"/>
    <w:rsid w:val="00891777"/>
    <w:rsid w:val="00891863"/>
    <w:rsid w:val="008918A2"/>
    <w:rsid w:val="00891990"/>
    <w:rsid w:val="00891C53"/>
    <w:rsid w:val="00891E7C"/>
    <w:rsid w:val="00891F6B"/>
    <w:rsid w:val="0089227E"/>
    <w:rsid w:val="008923BC"/>
    <w:rsid w:val="008923C7"/>
    <w:rsid w:val="008924A6"/>
    <w:rsid w:val="008926AE"/>
    <w:rsid w:val="00892E98"/>
    <w:rsid w:val="00892FAE"/>
    <w:rsid w:val="0089303B"/>
    <w:rsid w:val="008930E3"/>
    <w:rsid w:val="008931A9"/>
    <w:rsid w:val="0089336A"/>
    <w:rsid w:val="00893583"/>
    <w:rsid w:val="00893713"/>
    <w:rsid w:val="00893AEC"/>
    <w:rsid w:val="00893FD2"/>
    <w:rsid w:val="0089431A"/>
    <w:rsid w:val="00894370"/>
    <w:rsid w:val="0089437F"/>
    <w:rsid w:val="00894484"/>
    <w:rsid w:val="008945F3"/>
    <w:rsid w:val="00894753"/>
    <w:rsid w:val="0089478D"/>
    <w:rsid w:val="008947D7"/>
    <w:rsid w:val="00894C93"/>
    <w:rsid w:val="00894CAB"/>
    <w:rsid w:val="00894E69"/>
    <w:rsid w:val="00895071"/>
    <w:rsid w:val="008950B1"/>
    <w:rsid w:val="008953EB"/>
    <w:rsid w:val="0089561D"/>
    <w:rsid w:val="00895B39"/>
    <w:rsid w:val="00895CEE"/>
    <w:rsid w:val="00896020"/>
    <w:rsid w:val="00896052"/>
    <w:rsid w:val="008961C1"/>
    <w:rsid w:val="00896229"/>
    <w:rsid w:val="008966A6"/>
    <w:rsid w:val="0089675A"/>
    <w:rsid w:val="008967B8"/>
    <w:rsid w:val="00896803"/>
    <w:rsid w:val="00896961"/>
    <w:rsid w:val="00896B79"/>
    <w:rsid w:val="00896DB6"/>
    <w:rsid w:val="00896DD5"/>
    <w:rsid w:val="00896F80"/>
    <w:rsid w:val="0089712E"/>
    <w:rsid w:val="008971E7"/>
    <w:rsid w:val="008972E5"/>
    <w:rsid w:val="00897C05"/>
    <w:rsid w:val="00897ED5"/>
    <w:rsid w:val="008A01B1"/>
    <w:rsid w:val="008A0605"/>
    <w:rsid w:val="008A0767"/>
    <w:rsid w:val="008A09E8"/>
    <w:rsid w:val="008A0BF5"/>
    <w:rsid w:val="008A0E35"/>
    <w:rsid w:val="008A12F4"/>
    <w:rsid w:val="008A1384"/>
    <w:rsid w:val="008A1435"/>
    <w:rsid w:val="008A14BF"/>
    <w:rsid w:val="008A1538"/>
    <w:rsid w:val="008A1569"/>
    <w:rsid w:val="008A1668"/>
    <w:rsid w:val="008A1746"/>
    <w:rsid w:val="008A1854"/>
    <w:rsid w:val="008A18B0"/>
    <w:rsid w:val="008A1A6E"/>
    <w:rsid w:val="008A1BC3"/>
    <w:rsid w:val="008A1BCA"/>
    <w:rsid w:val="008A1E7E"/>
    <w:rsid w:val="008A1F58"/>
    <w:rsid w:val="008A2740"/>
    <w:rsid w:val="008A2A82"/>
    <w:rsid w:val="008A2B66"/>
    <w:rsid w:val="008A2B8D"/>
    <w:rsid w:val="008A3666"/>
    <w:rsid w:val="008A38A9"/>
    <w:rsid w:val="008A3CF5"/>
    <w:rsid w:val="008A3E9A"/>
    <w:rsid w:val="008A4168"/>
    <w:rsid w:val="008A43AC"/>
    <w:rsid w:val="008A454A"/>
    <w:rsid w:val="008A47D4"/>
    <w:rsid w:val="008A48B1"/>
    <w:rsid w:val="008A4959"/>
    <w:rsid w:val="008A4A17"/>
    <w:rsid w:val="008A4B4D"/>
    <w:rsid w:val="008A5014"/>
    <w:rsid w:val="008A5253"/>
    <w:rsid w:val="008A541A"/>
    <w:rsid w:val="008A547C"/>
    <w:rsid w:val="008A5496"/>
    <w:rsid w:val="008A54D4"/>
    <w:rsid w:val="008A569E"/>
    <w:rsid w:val="008A5760"/>
    <w:rsid w:val="008A589A"/>
    <w:rsid w:val="008A5C0C"/>
    <w:rsid w:val="008A5F51"/>
    <w:rsid w:val="008A61D1"/>
    <w:rsid w:val="008A61FD"/>
    <w:rsid w:val="008A6296"/>
    <w:rsid w:val="008A66CC"/>
    <w:rsid w:val="008A698A"/>
    <w:rsid w:val="008A69C8"/>
    <w:rsid w:val="008A6A72"/>
    <w:rsid w:val="008A6E3A"/>
    <w:rsid w:val="008A6E6E"/>
    <w:rsid w:val="008A708E"/>
    <w:rsid w:val="008A736F"/>
    <w:rsid w:val="008A7690"/>
    <w:rsid w:val="008A7A93"/>
    <w:rsid w:val="008A7B4D"/>
    <w:rsid w:val="008A7DCB"/>
    <w:rsid w:val="008A7EE7"/>
    <w:rsid w:val="008A7EFE"/>
    <w:rsid w:val="008B03F8"/>
    <w:rsid w:val="008B046F"/>
    <w:rsid w:val="008B0908"/>
    <w:rsid w:val="008B0994"/>
    <w:rsid w:val="008B0B46"/>
    <w:rsid w:val="008B0E0E"/>
    <w:rsid w:val="008B0E86"/>
    <w:rsid w:val="008B12C4"/>
    <w:rsid w:val="008B15DF"/>
    <w:rsid w:val="008B164C"/>
    <w:rsid w:val="008B1901"/>
    <w:rsid w:val="008B1A90"/>
    <w:rsid w:val="008B203E"/>
    <w:rsid w:val="008B2494"/>
    <w:rsid w:val="008B258F"/>
    <w:rsid w:val="008B25DA"/>
    <w:rsid w:val="008B2705"/>
    <w:rsid w:val="008B279C"/>
    <w:rsid w:val="008B2A4B"/>
    <w:rsid w:val="008B2D92"/>
    <w:rsid w:val="008B2ECE"/>
    <w:rsid w:val="008B30B7"/>
    <w:rsid w:val="008B30CE"/>
    <w:rsid w:val="008B3210"/>
    <w:rsid w:val="008B3325"/>
    <w:rsid w:val="008B36AB"/>
    <w:rsid w:val="008B36FE"/>
    <w:rsid w:val="008B3766"/>
    <w:rsid w:val="008B3772"/>
    <w:rsid w:val="008B3A36"/>
    <w:rsid w:val="008B3EDB"/>
    <w:rsid w:val="008B3F41"/>
    <w:rsid w:val="008B3FE6"/>
    <w:rsid w:val="008B42C2"/>
    <w:rsid w:val="008B46A1"/>
    <w:rsid w:val="008B4854"/>
    <w:rsid w:val="008B490B"/>
    <w:rsid w:val="008B4950"/>
    <w:rsid w:val="008B4AD7"/>
    <w:rsid w:val="008B4C4E"/>
    <w:rsid w:val="008B4D4E"/>
    <w:rsid w:val="008B4DB2"/>
    <w:rsid w:val="008B4DBD"/>
    <w:rsid w:val="008B4EAF"/>
    <w:rsid w:val="008B5477"/>
    <w:rsid w:val="008B54E0"/>
    <w:rsid w:val="008B55C8"/>
    <w:rsid w:val="008B560B"/>
    <w:rsid w:val="008B5614"/>
    <w:rsid w:val="008B5713"/>
    <w:rsid w:val="008B5AF1"/>
    <w:rsid w:val="008B5C3A"/>
    <w:rsid w:val="008B5E99"/>
    <w:rsid w:val="008B623B"/>
    <w:rsid w:val="008B6528"/>
    <w:rsid w:val="008B6623"/>
    <w:rsid w:val="008B662D"/>
    <w:rsid w:val="008B66EE"/>
    <w:rsid w:val="008B678A"/>
    <w:rsid w:val="008B6AF1"/>
    <w:rsid w:val="008B6D6D"/>
    <w:rsid w:val="008B6F56"/>
    <w:rsid w:val="008B6F88"/>
    <w:rsid w:val="008B70BE"/>
    <w:rsid w:val="008B725B"/>
    <w:rsid w:val="008B76EC"/>
    <w:rsid w:val="008B7883"/>
    <w:rsid w:val="008B7B39"/>
    <w:rsid w:val="008C005B"/>
    <w:rsid w:val="008C0530"/>
    <w:rsid w:val="008C05A4"/>
    <w:rsid w:val="008C0621"/>
    <w:rsid w:val="008C06A2"/>
    <w:rsid w:val="008C07D8"/>
    <w:rsid w:val="008C0924"/>
    <w:rsid w:val="008C0990"/>
    <w:rsid w:val="008C0A12"/>
    <w:rsid w:val="008C0BD9"/>
    <w:rsid w:val="008C0C56"/>
    <w:rsid w:val="008C0C68"/>
    <w:rsid w:val="008C0CEE"/>
    <w:rsid w:val="008C0DF1"/>
    <w:rsid w:val="008C105C"/>
    <w:rsid w:val="008C1141"/>
    <w:rsid w:val="008C1155"/>
    <w:rsid w:val="008C13EC"/>
    <w:rsid w:val="008C1496"/>
    <w:rsid w:val="008C14F6"/>
    <w:rsid w:val="008C1872"/>
    <w:rsid w:val="008C18E2"/>
    <w:rsid w:val="008C1A0B"/>
    <w:rsid w:val="008C1C4A"/>
    <w:rsid w:val="008C1C6E"/>
    <w:rsid w:val="008C1CDC"/>
    <w:rsid w:val="008C22AA"/>
    <w:rsid w:val="008C231C"/>
    <w:rsid w:val="008C2398"/>
    <w:rsid w:val="008C268D"/>
    <w:rsid w:val="008C27BA"/>
    <w:rsid w:val="008C2C49"/>
    <w:rsid w:val="008C2C6A"/>
    <w:rsid w:val="008C2CAF"/>
    <w:rsid w:val="008C2DA3"/>
    <w:rsid w:val="008C2EC5"/>
    <w:rsid w:val="008C2ED6"/>
    <w:rsid w:val="008C301E"/>
    <w:rsid w:val="008C311B"/>
    <w:rsid w:val="008C35D6"/>
    <w:rsid w:val="008C3708"/>
    <w:rsid w:val="008C3848"/>
    <w:rsid w:val="008C38B1"/>
    <w:rsid w:val="008C3B96"/>
    <w:rsid w:val="008C3C6A"/>
    <w:rsid w:val="008C3CAF"/>
    <w:rsid w:val="008C3DD8"/>
    <w:rsid w:val="008C3E23"/>
    <w:rsid w:val="008C3F32"/>
    <w:rsid w:val="008C402B"/>
    <w:rsid w:val="008C44D0"/>
    <w:rsid w:val="008C4599"/>
    <w:rsid w:val="008C464D"/>
    <w:rsid w:val="008C4770"/>
    <w:rsid w:val="008C485B"/>
    <w:rsid w:val="008C4930"/>
    <w:rsid w:val="008C49CD"/>
    <w:rsid w:val="008C49DB"/>
    <w:rsid w:val="008C4A17"/>
    <w:rsid w:val="008C4C25"/>
    <w:rsid w:val="008C4D77"/>
    <w:rsid w:val="008C51B7"/>
    <w:rsid w:val="008C54A8"/>
    <w:rsid w:val="008C55C2"/>
    <w:rsid w:val="008C573C"/>
    <w:rsid w:val="008C5804"/>
    <w:rsid w:val="008C5880"/>
    <w:rsid w:val="008C5901"/>
    <w:rsid w:val="008C59E7"/>
    <w:rsid w:val="008C5A2E"/>
    <w:rsid w:val="008C5D78"/>
    <w:rsid w:val="008C5FB1"/>
    <w:rsid w:val="008C682D"/>
    <w:rsid w:val="008C6AF7"/>
    <w:rsid w:val="008C6D4B"/>
    <w:rsid w:val="008C6E9E"/>
    <w:rsid w:val="008C6F27"/>
    <w:rsid w:val="008C784E"/>
    <w:rsid w:val="008C7AFE"/>
    <w:rsid w:val="008C7F3B"/>
    <w:rsid w:val="008D0044"/>
    <w:rsid w:val="008D0303"/>
    <w:rsid w:val="008D0558"/>
    <w:rsid w:val="008D0645"/>
    <w:rsid w:val="008D0926"/>
    <w:rsid w:val="008D0CC0"/>
    <w:rsid w:val="008D0EFD"/>
    <w:rsid w:val="008D0F6F"/>
    <w:rsid w:val="008D1043"/>
    <w:rsid w:val="008D1063"/>
    <w:rsid w:val="008D1065"/>
    <w:rsid w:val="008D11D3"/>
    <w:rsid w:val="008D13EF"/>
    <w:rsid w:val="008D14D7"/>
    <w:rsid w:val="008D15B1"/>
    <w:rsid w:val="008D1B09"/>
    <w:rsid w:val="008D1B68"/>
    <w:rsid w:val="008D1CD6"/>
    <w:rsid w:val="008D1D42"/>
    <w:rsid w:val="008D1DD2"/>
    <w:rsid w:val="008D1E08"/>
    <w:rsid w:val="008D1F0C"/>
    <w:rsid w:val="008D25FF"/>
    <w:rsid w:val="008D2A1A"/>
    <w:rsid w:val="008D2C07"/>
    <w:rsid w:val="008D2D50"/>
    <w:rsid w:val="008D2E30"/>
    <w:rsid w:val="008D2F17"/>
    <w:rsid w:val="008D2F21"/>
    <w:rsid w:val="008D2F60"/>
    <w:rsid w:val="008D3232"/>
    <w:rsid w:val="008D32A1"/>
    <w:rsid w:val="008D37F3"/>
    <w:rsid w:val="008D3947"/>
    <w:rsid w:val="008D3A3D"/>
    <w:rsid w:val="008D3A91"/>
    <w:rsid w:val="008D3C75"/>
    <w:rsid w:val="008D3E55"/>
    <w:rsid w:val="008D419E"/>
    <w:rsid w:val="008D42D7"/>
    <w:rsid w:val="008D43B6"/>
    <w:rsid w:val="008D45CA"/>
    <w:rsid w:val="008D4CAA"/>
    <w:rsid w:val="008D4CD4"/>
    <w:rsid w:val="008D4FF4"/>
    <w:rsid w:val="008D50B6"/>
    <w:rsid w:val="008D525E"/>
    <w:rsid w:val="008D5308"/>
    <w:rsid w:val="008D54C9"/>
    <w:rsid w:val="008D578C"/>
    <w:rsid w:val="008D587F"/>
    <w:rsid w:val="008D5B5B"/>
    <w:rsid w:val="008D5E4F"/>
    <w:rsid w:val="008D5F74"/>
    <w:rsid w:val="008D61D1"/>
    <w:rsid w:val="008D6274"/>
    <w:rsid w:val="008D629D"/>
    <w:rsid w:val="008D62F0"/>
    <w:rsid w:val="008D62FA"/>
    <w:rsid w:val="008D63F5"/>
    <w:rsid w:val="008D6485"/>
    <w:rsid w:val="008D64A3"/>
    <w:rsid w:val="008D6510"/>
    <w:rsid w:val="008D6617"/>
    <w:rsid w:val="008D6647"/>
    <w:rsid w:val="008D6B5E"/>
    <w:rsid w:val="008D6C9C"/>
    <w:rsid w:val="008D7039"/>
    <w:rsid w:val="008D71A2"/>
    <w:rsid w:val="008D7382"/>
    <w:rsid w:val="008D7442"/>
    <w:rsid w:val="008D769D"/>
    <w:rsid w:val="008D76F1"/>
    <w:rsid w:val="008D7852"/>
    <w:rsid w:val="008D7918"/>
    <w:rsid w:val="008D79A3"/>
    <w:rsid w:val="008D7A3B"/>
    <w:rsid w:val="008D7E5D"/>
    <w:rsid w:val="008D7EBA"/>
    <w:rsid w:val="008E0044"/>
    <w:rsid w:val="008E0180"/>
    <w:rsid w:val="008E0184"/>
    <w:rsid w:val="008E0763"/>
    <w:rsid w:val="008E0C64"/>
    <w:rsid w:val="008E0D62"/>
    <w:rsid w:val="008E0D9E"/>
    <w:rsid w:val="008E0E74"/>
    <w:rsid w:val="008E0EC9"/>
    <w:rsid w:val="008E0F2A"/>
    <w:rsid w:val="008E0F30"/>
    <w:rsid w:val="008E0F58"/>
    <w:rsid w:val="008E0F97"/>
    <w:rsid w:val="008E104D"/>
    <w:rsid w:val="008E1293"/>
    <w:rsid w:val="008E1472"/>
    <w:rsid w:val="008E15B3"/>
    <w:rsid w:val="008E1EFC"/>
    <w:rsid w:val="008E1FD7"/>
    <w:rsid w:val="008E2204"/>
    <w:rsid w:val="008E22A7"/>
    <w:rsid w:val="008E2560"/>
    <w:rsid w:val="008E25A7"/>
    <w:rsid w:val="008E298B"/>
    <w:rsid w:val="008E2A09"/>
    <w:rsid w:val="008E2DAB"/>
    <w:rsid w:val="008E2EA9"/>
    <w:rsid w:val="008E3085"/>
    <w:rsid w:val="008E3342"/>
    <w:rsid w:val="008E3372"/>
    <w:rsid w:val="008E365C"/>
    <w:rsid w:val="008E387E"/>
    <w:rsid w:val="008E3998"/>
    <w:rsid w:val="008E39A7"/>
    <w:rsid w:val="008E3B07"/>
    <w:rsid w:val="008E3C59"/>
    <w:rsid w:val="008E3D19"/>
    <w:rsid w:val="008E3EFB"/>
    <w:rsid w:val="008E4093"/>
    <w:rsid w:val="008E42A6"/>
    <w:rsid w:val="008E44C3"/>
    <w:rsid w:val="008E4731"/>
    <w:rsid w:val="008E477B"/>
    <w:rsid w:val="008E4843"/>
    <w:rsid w:val="008E49EF"/>
    <w:rsid w:val="008E4BAF"/>
    <w:rsid w:val="008E4C5B"/>
    <w:rsid w:val="008E5110"/>
    <w:rsid w:val="008E51EB"/>
    <w:rsid w:val="008E5249"/>
    <w:rsid w:val="008E54C0"/>
    <w:rsid w:val="008E552E"/>
    <w:rsid w:val="008E5738"/>
    <w:rsid w:val="008E586C"/>
    <w:rsid w:val="008E5BDD"/>
    <w:rsid w:val="008E5CE7"/>
    <w:rsid w:val="008E5E73"/>
    <w:rsid w:val="008E612F"/>
    <w:rsid w:val="008E631B"/>
    <w:rsid w:val="008E6625"/>
    <w:rsid w:val="008E6636"/>
    <w:rsid w:val="008E68E4"/>
    <w:rsid w:val="008E6CE3"/>
    <w:rsid w:val="008E6DD1"/>
    <w:rsid w:val="008E6EB4"/>
    <w:rsid w:val="008E6F13"/>
    <w:rsid w:val="008E70F8"/>
    <w:rsid w:val="008E7106"/>
    <w:rsid w:val="008E714E"/>
    <w:rsid w:val="008E74CE"/>
    <w:rsid w:val="008E7593"/>
    <w:rsid w:val="008E7603"/>
    <w:rsid w:val="008E790E"/>
    <w:rsid w:val="008E79FC"/>
    <w:rsid w:val="008E7B65"/>
    <w:rsid w:val="008E7C62"/>
    <w:rsid w:val="008E7D5F"/>
    <w:rsid w:val="008E7F3F"/>
    <w:rsid w:val="008F028C"/>
    <w:rsid w:val="008F0356"/>
    <w:rsid w:val="008F0364"/>
    <w:rsid w:val="008F056C"/>
    <w:rsid w:val="008F065E"/>
    <w:rsid w:val="008F06C7"/>
    <w:rsid w:val="008F085B"/>
    <w:rsid w:val="008F111F"/>
    <w:rsid w:val="008F11E9"/>
    <w:rsid w:val="008F135D"/>
    <w:rsid w:val="008F17AD"/>
    <w:rsid w:val="008F17E7"/>
    <w:rsid w:val="008F19A1"/>
    <w:rsid w:val="008F2112"/>
    <w:rsid w:val="008F2136"/>
    <w:rsid w:val="008F215B"/>
    <w:rsid w:val="008F22A5"/>
    <w:rsid w:val="008F22FA"/>
    <w:rsid w:val="008F232C"/>
    <w:rsid w:val="008F23A8"/>
    <w:rsid w:val="008F2450"/>
    <w:rsid w:val="008F2485"/>
    <w:rsid w:val="008F24CD"/>
    <w:rsid w:val="008F263F"/>
    <w:rsid w:val="008F26FA"/>
    <w:rsid w:val="008F2814"/>
    <w:rsid w:val="008F299C"/>
    <w:rsid w:val="008F2F67"/>
    <w:rsid w:val="008F33AA"/>
    <w:rsid w:val="008F33D9"/>
    <w:rsid w:val="008F36BB"/>
    <w:rsid w:val="008F3735"/>
    <w:rsid w:val="008F3A7D"/>
    <w:rsid w:val="008F3D0D"/>
    <w:rsid w:val="008F3D2E"/>
    <w:rsid w:val="008F4141"/>
    <w:rsid w:val="008F4252"/>
    <w:rsid w:val="008F4392"/>
    <w:rsid w:val="008F452D"/>
    <w:rsid w:val="008F45B2"/>
    <w:rsid w:val="008F4656"/>
    <w:rsid w:val="008F4670"/>
    <w:rsid w:val="008F47C6"/>
    <w:rsid w:val="008F48B2"/>
    <w:rsid w:val="008F4921"/>
    <w:rsid w:val="008F4B15"/>
    <w:rsid w:val="008F4B4C"/>
    <w:rsid w:val="008F4E92"/>
    <w:rsid w:val="008F50FC"/>
    <w:rsid w:val="008F537A"/>
    <w:rsid w:val="008F540E"/>
    <w:rsid w:val="008F5530"/>
    <w:rsid w:val="008F55DD"/>
    <w:rsid w:val="008F5A5C"/>
    <w:rsid w:val="008F5AD6"/>
    <w:rsid w:val="008F5D29"/>
    <w:rsid w:val="008F5DFB"/>
    <w:rsid w:val="008F5E65"/>
    <w:rsid w:val="008F5FE0"/>
    <w:rsid w:val="008F5FFF"/>
    <w:rsid w:val="008F6091"/>
    <w:rsid w:val="008F6412"/>
    <w:rsid w:val="008F653E"/>
    <w:rsid w:val="008F654B"/>
    <w:rsid w:val="008F665F"/>
    <w:rsid w:val="008F690A"/>
    <w:rsid w:val="008F69BB"/>
    <w:rsid w:val="008F6BC8"/>
    <w:rsid w:val="008F6D2E"/>
    <w:rsid w:val="008F6DF3"/>
    <w:rsid w:val="008F6E23"/>
    <w:rsid w:val="008F6EA3"/>
    <w:rsid w:val="008F6EED"/>
    <w:rsid w:val="008F7122"/>
    <w:rsid w:val="008F720C"/>
    <w:rsid w:val="008F7265"/>
    <w:rsid w:val="008F7291"/>
    <w:rsid w:val="008F757F"/>
    <w:rsid w:val="008F76BA"/>
    <w:rsid w:val="008F7756"/>
    <w:rsid w:val="008F7A0A"/>
    <w:rsid w:val="008F7B1F"/>
    <w:rsid w:val="008F7CD1"/>
    <w:rsid w:val="008F7DF2"/>
    <w:rsid w:val="008F7F01"/>
    <w:rsid w:val="00900207"/>
    <w:rsid w:val="009007C1"/>
    <w:rsid w:val="00900EBF"/>
    <w:rsid w:val="00900F04"/>
    <w:rsid w:val="00901152"/>
    <w:rsid w:val="0090153B"/>
    <w:rsid w:val="0090176D"/>
    <w:rsid w:val="009018C0"/>
    <w:rsid w:val="00901D6B"/>
    <w:rsid w:val="00902061"/>
    <w:rsid w:val="009020A7"/>
    <w:rsid w:val="009024C1"/>
    <w:rsid w:val="00902509"/>
    <w:rsid w:val="009026C2"/>
    <w:rsid w:val="009026C9"/>
    <w:rsid w:val="00902717"/>
    <w:rsid w:val="00902786"/>
    <w:rsid w:val="00902837"/>
    <w:rsid w:val="00902AD7"/>
    <w:rsid w:val="00902D4E"/>
    <w:rsid w:val="00902F05"/>
    <w:rsid w:val="0090356E"/>
    <w:rsid w:val="0090372F"/>
    <w:rsid w:val="00903B2E"/>
    <w:rsid w:val="00903D33"/>
    <w:rsid w:val="00903D5E"/>
    <w:rsid w:val="00903FEE"/>
    <w:rsid w:val="00904022"/>
    <w:rsid w:val="009041EA"/>
    <w:rsid w:val="00904235"/>
    <w:rsid w:val="0090443C"/>
    <w:rsid w:val="0090444A"/>
    <w:rsid w:val="00904471"/>
    <w:rsid w:val="0090463E"/>
    <w:rsid w:val="009046E1"/>
    <w:rsid w:val="00904772"/>
    <w:rsid w:val="009048F7"/>
    <w:rsid w:val="00904C89"/>
    <w:rsid w:val="00904D15"/>
    <w:rsid w:val="00904D9C"/>
    <w:rsid w:val="00904E51"/>
    <w:rsid w:val="00904E7D"/>
    <w:rsid w:val="00905074"/>
    <w:rsid w:val="009050A6"/>
    <w:rsid w:val="0090540D"/>
    <w:rsid w:val="00905976"/>
    <w:rsid w:val="009059B7"/>
    <w:rsid w:val="00905A98"/>
    <w:rsid w:val="00905CD4"/>
    <w:rsid w:val="00905F47"/>
    <w:rsid w:val="00905F66"/>
    <w:rsid w:val="0090607B"/>
    <w:rsid w:val="009060F4"/>
    <w:rsid w:val="009064A6"/>
    <w:rsid w:val="0090665A"/>
    <w:rsid w:val="009067F3"/>
    <w:rsid w:val="0090688E"/>
    <w:rsid w:val="00906D23"/>
    <w:rsid w:val="00906E7E"/>
    <w:rsid w:val="009071A3"/>
    <w:rsid w:val="00907226"/>
    <w:rsid w:val="00907300"/>
    <w:rsid w:val="009075F9"/>
    <w:rsid w:val="00907925"/>
    <w:rsid w:val="00907C9E"/>
    <w:rsid w:val="00907CCF"/>
    <w:rsid w:val="00907FE9"/>
    <w:rsid w:val="00910379"/>
    <w:rsid w:val="009103EE"/>
    <w:rsid w:val="009106EE"/>
    <w:rsid w:val="0091098C"/>
    <w:rsid w:val="00911744"/>
    <w:rsid w:val="00911788"/>
    <w:rsid w:val="00911867"/>
    <w:rsid w:val="009118B5"/>
    <w:rsid w:val="00911B01"/>
    <w:rsid w:val="00911C75"/>
    <w:rsid w:val="00911CB8"/>
    <w:rsid w:val="00911D38"/>
    <w:rsid w:val="0091224D"/>
    <w:rsid w:val="0091234E"/>
    <w:rsid w:val="009127A7"/>
    <w:rsid w:val="009128D0"/>
    <w:rsid w:val="00912A05"/>
    <w:rsid w:val="00912A2E"/>
    <w:rsid w:val="00912E26"/>
    <w:rsid w:val="00913092"/>
    <w:rsid w:val="009134AD"/>
    <w:rsid w:val="0091395C"/>
    <w:rsid w:val="00913B8F"/>
    <w:rsid w:val="00913DAB"/>
    <w:rsid w:val="0091433B"/>
    <w:rsid w:val="009146AD"/>
    <w:rsid w:val="009147FC"/>
    <w:rsid w:val="00914819"/>
    <w:rsid w:val="00915071"/>
    <w:rsid w:val="00915116"/>
    <w:rsid w:val="00915255"/>
    <w:rsid w:val="009156D9"/>
    <w:rsid w:val="009157E1"/>
    <w:rsid w:val="009158B2"/>
    <w:rsid w:val="00915912"/>
    <w:rsid w:val="00915994"/>
    <w:rsid w:val="00915A2D"/>
    <w:rsid w:val="00915A38"/>
    <w:rsid w:val="00915D7A"/>
    <w:rsid w:val="00915DE5"/>
    <w:rsid w:val="009163BF"/>
    <w:rsid w:val="00916799"/>
    <w:rsid w:val="00916B45"/>
    <w:rsid w:val="00916E19"/>
    <w:rsid w:val="00917359"/>
    <w:rsid w:val="009173DB"/>
    <w:rsid w:val="00917427"/>
    <w:rsid w:val="009178BC"/>
    <w:rsid w:val="00917B79"/>
    <w:rsid w:val="00917B99"/>
    <w:rsid w:val="00920414"/>
    <w:rsid w:val="00920493"/>
    <w:rsid w:val="0092054B"/>
    <w:rsid w:val="00920841"/>
    <w:rsid w:val="009208CD"/>
    <w:rsid w:val="00920A41"/>
    <w:rsid w:val="00920ADF"/>
    <w:rsid w:val="00920F22"/>
    <w:rsid w:val="00920FAC"/>
    <w:rsid w:val="00921011"/>
    <w:rsid w:val="00921134"/>
    <w:rsid w:val="00921150"/>
    <w:rsid w:val="009211CE"/>
    <w:rsid w:val="0092125B"/>
    <w:rsid w:val="00921850"/>
    <w:rsid w:val="00921AD3"/>
    <w:rsid w:val="00921BB8"/>
    <w:rsid w:val="00921C94"/>
    <w:rsid w:val="00921D34"/>
    <w:rsid w:val="00921DF5"/>
    <w:rsid w:val="009220FB"/>
    <w:rsid w:val="00922446"/>
    <w:rsid w:val="009224A1"/>
    <w:rsid w:val="009225E7"/>
    <w:rsid w:val="0092267C"/>
    <w:rsid w:val="00922751"/>
    <w:rsid w:val="0092287A"/>
    <w:rsid w:val="0092288C"/>
    <w:rsid w:val="00922A10"/>
    <w:rsid w:val="00922BDC"/>
    <w:rsid w:val="00922C63"/>
    <w:rsid w:val="0092310C"/>
    <w:rsid w:val="00923279"/>
    <w:rsid w:val="0092329B"/>
    <w:rsid w:val="009234BE"/>
    <w:rsid w:val="00923664"/>
    <w:rsid w:val="0092375E"/>
    <w:rsid w:val="009237B4"/>
    <w:rsid w:val="00923AA4"/>
    <w:rsid w:val="00923DE3"/>
    <w:rsid w:val="00923E83"/>
    <w:rsid w:val="00923F34"/>
    <w:rsid w:val="00924875"/>
    <w:rsid w:val="00924A92"/>
    <w:rsid w:val="00924A9D"/>
    <w:rsid w:val="00924C6A"/>
    <w:rsid w:val="00924F22"/>
    <w:rsid w:val="00925051"/>
    <w:rsid w:val="0092505E"/>
    <w:rsid w:val="0092508F"/>
    <w:rsid w:val="00925234"/>
    <w:rsid w:val="00925283"/>
    <w:rsid w:val="0092547B"/>
    <w:rsid w:val="0092578A"/>
    <w:rsid w:val="009257F0"/>
    <w:rsid w:val="00925858"/>
    <w:rsid w:val="009259BB"/>
    <w:rsid w:val="00925B78"/>
    <w:rsid w:val="00925C0C"/>
    <w:rsid w:val="009262A6"/>
    <w:rsid w:val="00926730"/>
    <w:rsid w:val="00926E65"/>
    <w:rsid w:val="00927000"/>
    <w:rsid w:val="0092709F"/>
    <w:rsid w:val="00927173"/>
    <w:rsid w:val="009271A6"/>
    <w:rsid w:val="009271D3"/>
    <w:rsid w:val="00927248"/>
    <w:rsid w:val="0092725F"/>
    <w:rsid w:val="0092759D"/>
    <w:rsid w:val="009277C0"/>
    <w:rsid w:val="009278B9"/>
    <w:rsid w:val="00927DEA"/>
    <w:rsid w:val="00930257"/>
    <w:rsid w:val="009305E1"/>
    <w:rsid w:val="009306A1"/>
    <w:rsid w:val="00930789"/>
    <w:rsid w:val="009307D9"/>
    <w:rsid w:val="00930905"/>
    <w:rsid w:val="009309CE"/>
    <w:rsid w:val="00930B95"/>
    <w:rsid w:val="00930EB8"/>
    <w:rsid w:val="00931233"/>
    <w:rsid w:val="009312A3"/>
    <w:rsid w:val="009312B3"/>
    <w:rsid w:val="0093159C"/>
    <w:rsid w:val="00931995"/>
    <w:rsid w:val="009319AC"/>
    <w:rsid w:val="009319D5"/>
    <w:rsid w:val="00931A49"/>
    <w:rsid w:val="00931A54"/>
    <w:rsid w:val="00931BE3"/>
    <w:rsid w:val="00931D9C"/>
    <w:rsid w:val="00931F40"/>
    <w:rsid w:val="00931F5A"/>
    <w:rsid w:val="00931F94"/>
    <w:rsid w:val="0093254D"/>
    <w:rsid w:val="00932578"/>
    <w:rsid w:val="00932583"/>
    <w:rsid w:val="0093269A"/>
    <w:rsid w:val="00932B21"/>
    <w:rsid w:val="00932B6E"/>
    <w:rsid w:val="00932DFD"/>
    <w:rsid w:val="00932E02"/>
    <w:rsid w:val="00932EFA"/>
    <w:rsid w:val="00933044"/>
    <w:rsid w:val="009331F4"/>
    <w:rsid w:val="009335FF"/>
    <w:rsid w:val="0093384D"/>
    <w:rsid w:val="00933C5C"/>
    <w:rsid w:val="009340D2"/>
    <w:rsid w:val="0093410A"/>
    <w:rsid w:val="009345F7"/>
    <w:rsid w:val="00934868"/>
    <w:rsid w:val="009348F3"/>
    <w:rsid w:val="00934919"/>
    <w:rsid w:val="00934937"/>
    <w:rsid w:val="00934A5A"/>
    <w:rsid w:val="00934B78"/>
    <w:rsid w:val="00934C17"/>
    <w:rsid w:val="00934C1A"/>
    <w:rsid w:val="00934CB4"/>
    <w:rsid w:val="00934F75"/>
    <w:rsid w:val="009352CD"/>
    <w:rsid w:val="009353CE"/>
    <w:rsid w:val="009353E0"/>
    <w:rsid w:val="009353F9"/>
    <w:rsid w:val="0093541F"/>
    <w:rsid w:val="009354B2"/>
    <w:rsid w:val="0093565A"/>
    <w:rsid w:val="009356F8"/>
    <w:rsid w:val="00935770"/>
    <w:rsid w:val="00935926"/>
    <w:rsid w:val="00935A55"/>
    <w:rsid w:val="00935B43"/>
    <w:rsid w:val="00935C71"/>
    <w:rsid w:val="00935EE7"/>
    <w:rsid w:val="009360F5"/>
    <w:rsid w:val="00936178"/>
    <w:rsid w:val="009362AD"/>
    <w:rsid w:val="009364B2"/>
    <w:rsid w:val="009365C3"/>
    <w:rsid w:val="009369E4"/>
    <w:rsid w:val="00936A6B"/>
    <w:rsid w:val="00936C1F"/>
    <w:rsid w:val="00936C73"/>
    <w:rsid w:val="00936F40"/>
    <w:rsid w:val="00936F53"/>
    <w:rsid w:val="0093706B"/>
    <w:rsid w:val="00937499"/>
    <w:rsid w:val="009377ED"/>
    <w:rsid w:val="009379D5"/>
    <w:rsid w:val="009379EB"/>
    <w:rsid w:val="00937A29"/>
    <w:rsid w:val="00937AE0"/>
    <w:rsid w:val="00937E8B"/>
    <w:rsid w:val="00940191"/>
    <w:rsid w:val="0094028F"/>
    <w:rsid w:val="009402A6"/>
    <w:rsid w:val="009402B1"/>
    <w:rsid w:val="00940405"/>
    <w:rsid w:val="00940472"/>
    <w:rsid w:val="00940679"/>
    <w:rsid w:val="0094067C"/>
    <w:rsid w:val="009408F4"/>
    <w:rsid w:val="00940A87"/>
    <w:rsid w:val="00940B3B"/>
    <w:rsid w:val="00940BA0"/>
    <w:rsid w:val="00940D9C"/>
    <w:rsid w:val="00940EA0"/>
    <w:rsid w:val="00940EB0"/>
    <w:rsid w:val="00941153"/>
    <w:rsid w:val="00941200"/>
    <w:rsid w:val="0094124B"/>
    <w:rsid w:val="009413D4"/>
    <w:rsid w:val="0094173A"/>
    <w:rsid w:val="0094197B"/>
    <w:rsid w:val="00941A3A"/>
    <w:rsid w:val="00941C7E"/>
    <w:rsid w:val="00941FC4"/>
    <w:rsid w:val="00941FFB"/>
    <w:rsid w:val="00942199"/>
    <w:rsid w:val="009421C8"/>
    <w:rsid w:val="009422F1"/>
    <w:rsid w:val="009424D5"/>
    <w:rsid w:val="009428E6"/>
    <w:rsid w:val="00942C98"/>
    <w:rsid w:val="00942EF3"/>
    <w:rsid w:val="00942F0A"/>
    <w:rsid w:val="00943316"/>
    <w:rsid w:val="009433F7"/>
    <w:rsid w:val="00943460"/>
    <w:rsid w:val="00943666"/>
    <w:rsid w:val="0094372F"/>
    <w:rsid w:val="009439FB"/>
    <w:rsid w:val="00943BDE"/>
    <w:rsid w:val="009444B9"/>
    <w:rsid w:val="0094457C"/>
    <w:rsid w:val="0094458B"/>
    <w:rsid w:val="009446F8"/>
    <w:rsid w:val="009449F0"/>
    <w:rsid w:val="009449F6"/>
    <w:rsid w:val="00944AE8"/>
    <w:rsid w:val="00944B48"/>
    <w:rsid w:val="00944BA2"/>
    <w:rsid w:val="00944C63"/>
    <w:rsid w:val="00944E22"/>
    <w:rsid w:val="009457BE"/>
    <w:rsid w:val="00945D79"/>
    <w:rsid w:val="00946189"/>
    <w:rsid w:val="0094685F"/>
    <w:rsid w:val="00946AAC"/>
    <w:rsid w:val="00946B48"/>
    <w:rsid w:val="00946F23"/>
    <w:rsid w:val="00946F65"/>
    <w:rsid w:val="0094711C"/>
    <w:rsid w:val="009475FD"/>
    <w:rsid w:val="00947ADF"/>
    <w:rsid w:val="00947B29"/>
    <w:rsid w:val="00950079"/>
    <w:rsid w:val="00950533"/>
    <w:rsid w:val="0095062E"/>
    <w:rsid w:val="00950701"/>
    <w:rsid w:val="00950AFD"/>
    <w:rsid w:val="00950CFA"/>
    <w:rsid w:val="0095135E"/>
    <w:rsid w:val="00951854"/>
    <w:rsid w:val="009518BB"/>
    <w:rsid w:val="00951AFF"/>
    <w:rsid w:val="00951C07"/>
    <w:rsid w:val="00951E00"/>
    <w:rsid w:val="009521C3"/>
    <w:rsid w:val="00952237"/>
    <w:rsid w:val="00952374"/>
    <w:rsid w:val="00952455"/>
    <w:rsid w:val="00952A58"/>
    <w:rsid w:val="00952AC7"/>
    <w:rsid w:val="00952F8B"/>
    <w:rsid w:val="009531D6"/>
    <w:rsid w:val="00953791"/>
    <w:rsid w:val="009537AC"/>
    <w:rsid w:val="00953D48"/>
    <w:rsid w:val="0095411E"/>
    <w:rsid w:val="00954120"/>
    <w:rsid w:val="009541B3"/>
    <w:rsid w:val="00954307"/>
    <w:rsid w:val="009544E1"/>
    <w:rsid w:val="0095476D"/>
    <w:rsid w:val="00954911"/>
    <w:rsid w:val="0095494B"/>
    <w:rsid w:val="0095499A"/>
    <w:rsid w:val="00955149"/>
    <w:rsid w:val="0095520B"/>
    <w:rsid w:val="00955229"/>
    <w:rsid w:val="009552FB"/>
    <w:rsid w:val="009553E7"/>
    <w:rsid w:val="00955411"/>
    <w:rsid w:val="00955432"/>
    <w:rsid w:val="00955742"/>
    <w:rsid w:val="0095576B"/>
    <w:rsid w:val="0095584E"/>
    <w:rsid w:val="00955983"/>
    <w:rsid w:val="00955985"/>
    <w:rsid w:val="0095598E"/>
    <w:rsid w:val="00955CB5"/>
    <w:rsid w:val="00955E60"/>
    <w:rsid w:val="00955FD0"/>
    <w:rsid w:val="0095608C"/>
    <w:rsid w:val="00956102"/>
    <w:rsid w:val="00956132"/>
    <w:rsid w:val="00956625"/>
    <w:rsid w:val="00956B97"/>
    <w:rsid w:val="00956BAE"/>
    <w:rsid w:val="00956D08"/>
    <w:rsid w:val="00956DF8"/>
    <w:rsid w:val="00956EC1"/>
    <w:rsid w:val="00956EFB"/>
    <w:rsid w:val="00957002"/>
    <w:rsid w:val="0095703C"/>
    <w:rsid w:val="0095748E"/>
    <w:rsid w:val="009574F4"/>
    <w:rsid w:val="00957AC7"/>
    <w:rsid w:val="00957C77"/>
    <w:rsid w:val="00957E23"/>
    <w:rsid w:val="00957F2D"/>
    <w:rsid w:val="0096013C"/>
    <w:rsid w:val="00960222"/>
    <w:rsid w:val="00960266"/>
    <w:rsid w:val="00960518"/>
    <w:rsid w:val="009605D9"/>
    <w:rsid w:val="009606A9"/>
    <w:rsid w:val="00960735"/>
    <w:rsid w:val="00960765"/>
    <w:rsid w:val="009608CA"/>
    <w:rsid w:val="009608F3"/>
    <w:rsid w:val="00960DB0"/>
    <w:rsid w:val="00960E73"/>
    <w:rsid w:val="009611AC"/>
    <w:rsid w:val="0096138C"/>
    <w:rsid w:val="00961534"/>
    <w:rsid w:val="009615BF"/>
    <w:rsid w:val="00961744"/>
    <w:rsid w:val="00961756"/>
    <w:rsid w:val="00961793"/>
    <w:rsid w:val="0096183A"/>
    <w:rsid w:val="0096183E"/>
    <w:rsid w:val="0096191D"/>
    <w:rsid w:val="00961A64"/>
    <w:rsid w:val="00961C83"/>
    <w:rsid w:val="00961DF7"/>
    <w:rsid w:val="00962042"/>
    <w:rsid w:val="00962360"/>
    <w:rsid w:val="009625BD"/>
    <w:rsid w:val="0096297B"/>
    <w:rsid w:val="00962A56"/>
    <w:rsid w:val="00962A60"/>
    <w:rsid w:val="00962BD7"/>
    <w:rsid w:val="00962CD1"/>
    <w:rsid w:val="00962D33"/>
    <w:rsid w:val="00962D9E"/>
    <w:rsid w:val="00962EE8"/>
    <w:rsid w:val="00962F9B"/>
    <w:rsid w:val="00963060"/>
    <w:rsid w:val="00963211"/>
    <w:rsid w:val="009632DB"/>
    <w:rsid w:val="0096330C"/>
    <w:rsid w:val="00963345"/>
    <w:rsid w:val="009633BD"/>
    <w:rsid w:val="0096351E"/>
    <w:rsid w:val="00963684"/>
    <w:rsid w:val="0096393E"/>
    <w:rsid w:val="00963D4C"/>
    <w:rsid w:val="00963E59"/>
    <w:rsid w:val="00963EAE"/>
    <w:rsid w:val="00963F11"/>
    <w:rsid w:val="00964114"/>
    <w:rsid w:val="00964187"/>
    <w:rsid w:val="009642DE"/>
    <w:rsid w:val="009643BC"/>
    <w:rsid w:val="009643D8"/>
    <w:rsid w:val="009645EE"/>
    <w:rsid w:val="00964686"/>
    <w:rsid w:val="009646C5"/>
    <w:rsid w:val="009648B8"/>
    <w:rsid w:val="009648DC"/>
    <w:rsid w:val="009649F3"/>
    <w:rsid w:val="00964E8B"/>
    <w:rsid w:val="00964FCA"/>
    <w:rsid w:val="00965210"/>
    <w:rsid w:val="00965506"/>
    <w:rsid w:val="0096552A"/>
    <w:rsid w:val="0096553F"/>
    <w:rsid w:val="009657C3"/>
    <w:rsid w:val="009657E0"/>
    <w:rsid w:val="00965A55"/>
    <w:rsid w:val="00965B30"/>
    <w:rsid w:val="00965B9B"/>
    <w:rsid w:val="009660DF"/>
    <w:rsid w:val="0096614E"/>
    <w:rsid w:val="00966387"/>
    <w:rsid w:val="00966471"/>
    <w:rsid w:val="009666A8"/>
    <w:rsid w:val="00966722"/>
    <w:rsid w:val="00966A71"/>
    <w:rsid w:val="00966AD6"/>
    <w:rsid w:val="00966DBA"/>
    <w:rsid w:val="00966E02"/>
    <w:rsid w:val="00966E13"/>
    <w:rsid w:val="00966E15"/>
    <w:rsid w:val="00966E23"/>
    <w:rsid w:val="00966E3D"/>
    <w:rsid w:val="00966E62"/>
    <w:rsid w:val="00966F49"/>
    <w:rsid w:val="00966FCA"/>
    <w:rsid w:val="00967085"/>
    <w:rsid w:val="0096720A"/>
    <w:rsid w:val="00967325"/>
    <w:rsid w:val="00967442"/>
    <w:rsid w:val="00967A26"/>
    <w:rsid w:val="00967AA8"/>
    <w:rsid w:val="00967D1D"/>
    <w:rsid w:val="00967DBF"/>
    <w:rsid w:val="00967DDE"/>
    <w:rsid w:val="00967E94"/>
    <w:rsid w:val="00967F45"/>
    <w:rsid w:val="00967FEC"/>
    <w:rsid w:val="00970654"/>
    <w:rsid w:val="009707F3"/>
    <w:rsid w:val="00970E79"/>
    <w:rsid w:val="00971161"/>
    <w:rsid w:val="00971278"/>
    <w:rsid w:val="00971416"/>
    <w:rsid w:val="00971436"/>
    <w:rsid w:val="0097170E"/>
    <w:rsid w:val="009717FD"/>
    <w:rsid w:val="00971853"/>
    <w:rsid w:val="009719C1"/>
    <w:rsid w:val="00971B1C"/>
    <w:rsid w:val="00971FA2"/>
    <w:rsid w:val="00972059"/>
    <w:rsid w:val="00972072"/>
    <w:rsid w:val="00972091"/>
    <w:rsid w:val="00972102"/>
    <w:rsid w:val="00972190"/>
    <w:rsid w:val="009723EC"/>
    <w:rsid w:val="0097249D"/>
    <w:rsid w:val="00972519"/>
    <w:rsid w:val="0097258F"/>
    <w:rsid w:val="009727D6"/>
    <w:rsid w:val="00972E29"/>
    <w:rsid w:val="00972E8C"/>
    <w:rsid w:val="00972EFE"/>
    <w:rsid w:val="00972F1F"/>
    <w:rsid w:val="00972FAC"/>
    <w:rsid w:val="00972FC6"/>
    <w:rsid w:val="00973199"/>
    <w:rsid w:val="0097367C"/>
    <w:rsid w:val="009739FA"/>
    <w:rsid w:val="00973A1A"/>
    <w:rsid w:val="00973DAD"/>
    <w:rsid w:val="0097450D"/>
    <w:rsid w:val="0097456B"/>
    <w:rsid w:val="00974613"/>
    <w:rsid w:val="009747C8"/>
    <w:rsid w:val="009748D8"/>
    <w:rsid w:val="00974967"/>
    <w:rsid w:val="00974B28"/>
    <w:rsid w:val="00974BA5"/>
    <w:rsid w:val="00974CA3"/>
    <w:rsid w:val="00974F3C"/>
    <w:rsid w:val="00974F4D"/>
    <w:rsid w:val="00974F94"/>
    <w:rsid w:val="00975095"/>
    <w:rsid w:val="009753BC"/>
    <w:rsid w:val="0097542A"/>
    <w:rsid w:val="00975451"/>
    <w:rsid w:val="009755BB"/>
    <w:rsid w:val="009756D9"/>
    <w:rsid w:val="00975A27"/>
    <w:rsid w:val="00975CAA"/>
    <w:rsid w:val="00976143"/>
    <w:rsid w:val="009761E5"/>
    <w:rsid w:val="00976309"/>
    <w:rsid w:val="0097655A"/>
    <w:rsid w:val="009765CD"/>
    <w:rsid w:val="009766B6"/>
    <w:rsid w:val="0097671F"/>
    <w:rsid w:val="009767DD"/>
    <w:rsid w:val="00976DFF"/>
    <w:rsid w:val="009771D1"/>
    <w:rsid w:val="00977764"/>
    <w:rsid w:val="009778AD"/>
    <w:rsid w:val="00977F0D"/>
    <w:rsid w:val="00977F8A"/>
    <w:rsid w:val="009800FE"/>
    <w:rsid w:val="00980466"/>
    <w:rsid w:val="00980672"/>
    <w:rsid w:val="0098067D"/>
    <w:rsid w:val="009808C1"/>
    <w:rsid w:val="00980A06"/>
    <w:rsid w:val="00980A53"/>
    <w:rsid w:val="00980A6C"/>
    <w:rsid w:val="009813F6"/>
    <w:rsid w:val="00981557"/>
    <w:rsid w:val="00981874"/>
    <w:rsid w:val="009819B5"/>
    <w:rsid w:val="00981C48"/>
    <w:rsid w:val="00981D11"/>
    <w:rsid w:val="00981E94"/>
    <w:rsid w:val="0098202D"/>
    <w:rsid w:val="009820D8"/>
    <w:rsid w:val="009824AA"/>
    <w:rsid w:val="009825A2"/>
    <w:rsid w:val="00982C1E"/>
    <w:rsid w:val="009832C9"/>
    <w:rsid w:val="0098363E"/>
    <w:rsid w:val="0098365A"/>
    <w:rsid w:val="0098375E"/>
    <w:rsid w:val="00983D28"/>
    <w:rsid w:val="00983EF9"/>
    <w:rsid w:val="0098442A"/>
    <w:rsid w:val="0098455F"/>
    <w:rsid w:val="00984574"/>
    <w:rsid w:val="00984661"/>
    <w:rsid w:val="009847AD"/>
    <w:rsid w:val="009847E0"/>
    <w:rsid w:val="00984BF7"/>
    <w:rsid w:val="00984C77"/>
    <w:rsid w:val="00984E4D"/>
    <w:rsid w:val="00984E89"/>
    <w:rsid w:val="00984F47"/>
    <w:rsid w:val="009851D7"/>
    <w:rsid w:val="009852E5"/>
    <w:rsid w:val="0098537C"/>
    <w:rsid w:val="0098568B"/>
    <w:rsid w:val="009858F6"/>
    <w:rsid w:val="00985BA2"/>
    <w:rsid w:val="009861AA"/>
    <w:rsid w:val="009861C9"/>
    <w:rsid w:val="00986215"/>
    <w:rsid w:val="0098670D"/>
    <w:rsid w:val="00986899"/>
    <w:rsid w:val="00986A71"/>
    <w:rsid w:val="00986CC3"/>
    <w:rsid w:val="0098755E"/>
    <w:rsid w:val="009876C1"/>
    <w:rsid w:val="00987745"/>
    <w:rsid w:val="00987775"/>
    <w:rsid w:val="00987B89"/>
    <w:rsid w:val="00987B9C"/>
    <w:rsid w:val="00987EFD"/>
    <w:rsid w:val="00987F8D"/>
    <w:rsid w:val="009900F1"/>
    <w:rsid w:val="00990297"/>
    <w:rsid w:val="00990486"/>
    <w:rsid w:val="0099063F"/>
    <w:rsid w:val="00990673"/>
    <w:rsid w:val="00990799"/>
    <w:rsid w:val="00990805"/>
    <w:rsid w:val="0099088E"/>
    <w:rsid w:val="00990895"/>
    <w:rsid w:val="009908D8"/>
    <w:rsid w:val="009909B6"/>
    <w:rsid w:val="00990C2F"/>
    <w:rsid w:val="00990F17"/>
    <w:rsid w:val="0099114A"/>
    <w:rsid w:val="0099118E"/>
    <w:rsid w:val="00991265"/>
    <w:rsid w:val="0099150D"/>
    <w:rsid w:val="009916AE"/>
    <w:rsid w:val="009916EC"/>
    <w:rsid w:val="009917E9"/>
    <w:rsid w:val="00991ACF"/>
    <w:rsid w:val="00991C16"/>
    <w:rsid w:val="00991CEC"/>
    <w:rsid w:val="00991D2B"/>
    <w:rsid w:val="00991D9E"/>
    <w:rsid w:val="00991FE2"/>
    <w:rsid w:val="00991FEE"/>
    <w:rsid w:val="00992229"/>
    <w:rsid w:val="0099233B"/>
    <w:rsid w:val="00992373"/>
    <w:rsid w:val="009925C3"/>
    <w:rsid w:val="009926BD"/>
    <w:rsid w:val="0099291E"/>
    <w:rsid w:val="009929BB"/>
    <w:rsid w:val="00992B24"/>
    <w:rsid w:val="00992CDD"/>
    <w:rsid w:val="00992D4F"/>
    <w:rsid w:val="00992DAD"/>
    <w:rsid w:val="00992DBE"/>
    <w:rsid w:val="00992E41"/>
    <w:rsid w:val="009930B6"/>
    <w:rsid w:val="00993172"/>
    <w:rsid w:val="00993293"/>
    <w:rsid w:val="009934A9"/>
    <w:rsid w:val="009937FE"/>
    <w:rsid w:val="009938E2"/>
    <w:rsid w:val="009938EC"/>
    <w:rsid w:val="00993DC2"/>
    <w:rsid w:val="00993E64"/>
    <w:rsid w:val="00994332"/>
    <w:rsid w:val="00994A45"/>
    <w:rsid w:val="00994D01"/>
    <w:rsid w:val="00994FBC"/>
    <w:rsid w:val="00995018"/>
    <w:rsid w:val="00995073"/>
    <w:rsid w:val="009950DD"/>
    <w:rsid w:val="00995162"/>
    <w:rsid w:val="0099520F"/>
    <w:rsid w:val="009953C1"/>
    <w:rsid w:val="009954B2"/>
    <w:rsid w:val="00995685"/>
    <w:rsid w:val="00995924"/>
    <w:rsid w:val="00995DE7"/>
    <w:rsid w:val="00995E30"/>
    <w:rsid w:val="00995EC1"/>
    <w:rsid w:val="0099629C"/>
    <w:rsid w:val="00996480"/>
    <w:rsid w:val="009964A9"/>
    <w:rsid w:val="00996616"/>
    <w:rsid w:val="009968DF"/>
    <w:rsid w:val="00996A79"/>
    <w:rsid w:val="00996B27"/>
    <w:rsid w:val="00996DC1"/>
    <w:rsid w:val="00996E85"/>
    <w:rsid w:val="00996EB7"/>
    <w:rsid w:val="009971B6"/>
    <w:rsid w:val="0099751B"/>
    <w:rsid w:val="00997696"/>
    <w:rsid w:val="0099774C"/>
    <w:rsid w:val="009979FA"/>
    <w:rsid w:val="00997B4F"/>
    <w:rsid w:val="00997C37"/>
    <w:rsid w:val="00997DD8"/>
    <w:rsid w:val="00997FBD"/>
    <w:rsid w:val="009A00CB"/>
    <w:rsid w:val="009A00E7"/>
    <w:rsid w:val="009A0254"/>
    <w:rsid w:val="009A0450"/>
    <w:rsid w:val="009A08B0"/>
    <w:rsid w:val="009A09B3"/>
    <w:rsid w:val="009A0A39"/>
    <w:rsid w:val="009A0B3A"/>
    <w:rsid w:val="009A0D9C"/>
    <w:rsid w:val="009A0DA2"/>
    <w:rsid w:val="009A0E6A"/>
    <w:rsid w:val="009A10A1"/>
    <w:rsid w:val="009A10E3"/>
    <w:rsid w:val="009A13B7"/>
    <w:rsid w:val="009A1459"/>
    <w:rsid w:val="009A1811"/>
    <w:rsid w:val="009A18C5"/>
    <w:rsid w:val="009A198B"/>
    <w:rsid w:val="009A1C85"/>
    <w:rsid w:val="009A1CD4"/>
    <w:rsid w:val="009A1E94"/>
    <w:rsid w:val="009A1F8F"/>
    <w:rsid w:val="009A22A1"/>
    <w:rsid w:val="009A22CB"/>
    <w:rsid w:val="009A2356"/>
    <w:rsid w:val="009A2384"/>
    <w:rsid w:val="009A2700"/>
    <w:rsid w:val="009A2D2B"/>
    <w:rsid w:val="009A2E25"/>
    <w:rsid w:val="009A2F65"/>
    <w:rsid w:val="009A301F"/>
    <w:rsid w:val="009A3616"/>
    <w:rsid w:val="009A3812"/>
    <w:rsid w:val="009A3DBD"/>
    <w:rsid w:val="009A3F08"/>
    <w:rsid w:val="009A4129"/>
    <w:rsid w:val="009A4325"/>
    <w:rsid w:val="009A43D4"/>
    <w:rsid w:val="009A44A6"/>
    <w:rsid w:val="009A457B"/>
    <w:rsid w:val="009A4B41"/>
    <w:rsid w:val="009A4CB8"/>
    <w:rsid w:val="009A4E7C"/>
    <w:rsid w:val="009A4FF4"/>
    <w:rsid w:val="009A5255"/>
    <w:rsid w:val="009A5294"/>
    <w:rsid w:val="009A5416"/>
    <w:rsid w:val="009A55F9"/>
    <w:rsid w:val="009A55FD"/>
    <w:rsid w:val="009A57B8"/>
    <w:rsid w:val="009A5C58"/>
    <w:rsid w:val="009A5D29"/>
    <w:rsid w:val="009A5E85"/>
    <w:rsid w:val="009A620B"/>
    <w:rsid w:val="009A6345"/>
    <w:rsid w:val="009A63C3"/>
    <w:rsid w:val="009A6403"/>
    <w:rsid w:val="009A6543"/>
    <w:rsid w:val="009A6638"/>
    <w:rsid w:val="009A6758"/>
    <w:rsid w:val="009A6825"/>
    <w:rsid w:val="009A6856"/>
    <w:rsid w:val="009A6A29"/>
    <w:rsid w:val="009A6B3B"/>
    <w:rsid w:val="009A6C52"/>
    <w:rsid w:val="009A6F33"/>
    <w:rsid w:val="009A7067"/>
    <w:rsid w:val="009A7069"/>
    <w:rsid w:val="009A7196"/>
    <w:rsid w:val="009A724D"/>
    <w:rsid w:val="009A72A9"/>
    <w:rsid w:val="009A7557"/>
    <w:rsid w:val="009A7AAC"/>
    <w:rsid w:val="009A7C92"/>
    <w:rsid w:val="009A7CC5"/>
    <w:rsid w:val="009A7DFC"/>
    <w:rsid w:val="009A7F96"/>
    <w:rsid w:val="009B0384"/>
    <w:rsid w:val="009B0397"/>
    <w:rsid w:val="009B0AC7"/>
    <w:rsid w:val="009B0BDA"/>
    <w:rsid w:val="009B0F03"/>
    <w:rsid w:val="009B0F8F"/>
    <w:rsid w:val="009B1119"/>
    <w:rsid w:val="009B1278"/>
    <w:rsid w:val="009B13D7"/>
    <w:rsid w:val="009B15E0"/>
    <w:rsid w:val="009B1636"/>
    <w:rsid w:val="009B18B1"/>
    <w:rsid w:val="009B195C"/>
    <w:rsid w:val="009B1A2A"/>
    <w:rsid w:val="009B1A7D"/>
    <w:rsid w:val="009B1B6C"/>
    <w:rsid w:val="009B1B99"/>
    <w:rsid w:val="009B1BB0"/>
    <w:rsid w:val="009B2039"/>
    <w:rsid w:val="009B238C"/>
    <w:rsid w:val="009B27DA"/>
    <w:rsid w:val="009B304B"/>
    <w:rsid w:val="009B31E2"/>
    <w:rsid w:val="009B3226"/>
    <w:rsid w:val="009B328F"/>
    <w:rsid w:val="009B34F9"/>
    <w:rsid w:val="009B3CF6"/>
    <w:rsid w:val="009B3D22"/>
    <w:rsid w:val="009B3E42"/>
    <w:rsid w:val="009B3ED3"/>
    <w:rsid w:val="009B41A4"/>
    <w:rsid w:val="009B4250"/>
    <w:rsid w:val="009B42E3"/>
    <w:rsid w:val="009B468E"/>
    <w:rsid w:val="009B4807"/>
    <w:rsid w:val="009B48F2"/>
    <w:rsid w:val="009B4A7D"/>
    <w:rsid w:val="009B4B2C"/>
    <w:rsid w:val="009B4F5C"/>
    <w:rsid w:val="009B5319"/>
    <w:rsid w:val="009B541C"/>
    <w:rsid w:val="009B55CF"/>
    <w:rsid w:val="009B5792"/>
    <w:rsid w:val="009B5A53"/>
    <w:rsid w:val="009B5A6B"/>
    <w:rsid w:val="009B5BA6"/>
    <w:rsid w:val="009B5C84"/>
    <w:rsid w:val="009B5E73"/>
    <w:rsid w:val="009B61EE"/>
    <w:rsid w:val="009B621B"/>
    <w:rsid w:val="009B6464"/>
    <w:rsid w:val="009B65CA"/>
    <w:rsid w:val="009B67F4"/>
    <w:rsid w:val="009B6BDC"/>
    <w:rsid w:val="009B6DEB"/>
    <w:rsid w:val="009B6EAA"/>
    <w:rsid w:val="009B6EB3"/>
    <w:rsid w:val="009B6F9A"/>
    <w:rsid w:val="009B7040"/>
    <w:rsid w:val="009B7282"/>
    <w:rsid w:val="009B7408"/>
    <w:rsid w:val="009B741E"/>
    <w:rsid w:val="009B75DE"/>
    <w:rsid w:val="009B7629"/>
    <w:rsid w:val="009B7869"/>
    <w:rsid w:val="009B7AEF"/>
    <w:rsid w:val="009B7CAC"/>
    <w:rsid w:val="009B7EAE"/>
    <w:rsid w:val="009B7FE6"/>
    <w:rsid w:val="009C00C1"/>
    <w:rsid w:val="009C0402"/>
    <w:rsid w:val="009C0438"/>
    <w:rsid w:val="009C05A1"/>
    <w:rsid w:val="009C0788"/>
    <w:rsid w:val="009C0803"/>
    <w:rsid w:val="009C095C"/>
    <w:rsid w:val="009C0A18"/>
    <w:rsid w:val="009C0AEA"/>
    <w:rsid w:val="009C0E73"/>
    <w:rsid w:val="009C1024"/>
    <w:rsid w:val="009C14A1"/>
    <w:rsid w:val="009C1620"/>
    <w:rsid w:val="009C163F"/>
    <w:rsid w:val="009C16E5"/>
    <w:rsid w:val="009C1756"/>
    <w:rsid w:val="009C19A2"/>
    <w:rsid w:val="009C19CB"/>
    <w:rsid w:val="009C1AB7"/>
    <w:rsid w:val="009C1B5E"/>
    <w:rsid w:val="009C1B6D"/>
    <w:rsid w:val="009C1CC1"/>
    <w:rsid w:val="009C1D54"/>
    <w:rsid w:val="009C1E42"/>
    <w:rsid w:val="009C20B8"/>
    <w:rsid w:val="009C21E2"/>
    <w:rsid w:val="009C22D9"/>
    <w:rsid w:val="009C247B"/>
    <w:rsid w:val="009C25D2"/>
    <w:rsid w:val="009C26E5"/>
    <w:rsid w:val="009C282C"/>
    <w:rsid w:val="009C2A3C"/>
    <w:rsid w:val="009C2C2B"/>
    <w:rsid w:val="009C2D8C"/>
    <w:rsid w:val="009C2F89"/>
    <w:rsid w:val="009C30CA"/>
    <w:rsid w:val="009C3325"/>
    <w:rsid w:val="009C33A0"/>
    <w:rsid w:val="009C3414"/>
    <w:rsid w:val="009C34F2"/>
    <w:rsid w:val="009C35CB"/>
    <w:rsid w:val="009C38F5"/>
    <w:rsid w:val="009C390B"/>
    <w:rsid w:val="009C3AED"/>
    <w:rsid w:val="009C3B6B"/>
    <w:rsid w:val="009C3CC5"/>
    <w:rsid w:val="009C43B6"/>
    <w:rsid w:val="009C43BD"/>
    <w:rsid w:val="009C4C1C"/>
    <w:rsid w:val="009C4EBE"/>
    <w:rsid w:val="009C51B2"/>
    <w:rsid w:val="009C51F2"/>
    <w:rsid w:val="009C5493"/>
    <w:rsid w:val="009C54B1"/>
    <w:rsid w:val="009C5741"/>
    <w:rsid w:val="009C5CB9"/>
    <w:rsid w:val="009C5D06"/>
    <w:rsid w:val="009C5F23"/>
    <w:rsid w:val="009C610E"/>
    <w:rsid w:val="009C6171"/>
    <w:rsid w:val="009C62FB"/>
    <w:rsid w:val="009C6628"/>
    <w:rsid w:val="009C663C"/>
    <w:rsid w:val="009C67BF"/>
    <w:rsid w:val="009C67E1"/>
    <w:rsid w:val="009C6953"/>
    <w:rsid w:val="009C6975"/>
    <w:rsid w:val="009C6C1E"/>
    <w:rsid w:val="009C6C55"/>
    <w:rsid w:val="009C6E0C"/>
    <w:rsid w:val="009C6E86"/>
    <w:rsid w:val="009C7088"/>
    <w:rsid w:val="009C767E"/>
    <w:rsid w:val="009C7848"/>
    <w:rsid w:val="009C7B74"/>
    <w:rsid w:val="009C7C4A"/>
    <w:rsid w:val="009C7E81"/>
    <w:rsid w:val="009D073B"/>
    <w:rsid w:val="009D093A"/>
    <w:rsid w:val="009D0D48"/>
    <w:rsid w:val="009D0DAB"/>
    <w:rsid w:val="009D0F1A"/>
    <w:rsid w:val="009D132D"/>
    <w:rsid w:val="009D1471"/>
    <w:rsid w:val="009D1506"/>
    <w:rsid w:val="009D1BD9"/>
    <w:rsid w:val="009D1BF1"/>
    <w:rsid w:val="009D1E8C"/>
    <w:rsid w:val="009D2447"/>
    <w:rsid w:val="009D29AD"/>
    <w:rsid w:val="009D2A6E"/>
    <w:rsid w:val="009D2BC6"/>
    <w:rsid w:val="009D2D1D"/>
    <w:rsid w:val="009D2E1A"/>
    <w:rsid w:val="009D2E9B"/>
    <w:rsid w:val="009D327E"/>
    <w:rsid w:val="009D33CF"/>
    <w:rsid w:val="009D34C5"/>
    <w:rsid w:val="009D37DD"/>
    <w:rsid w:val="009D3997"/>
    <w:rsid w:val="009D3CD9"/>
    <w:rsid w:val="009D4151"/>
    <w:rsid w:val="009D4377"/>
    <w:rsid w:val="009D4625"/>
    <w:rsid w:val="009D4719"/>
    <w:rsid w:val="009D4925"/>
    <w:rsid w:val="009D4A50"/>
    <w:rsid w:val="009D4AEE"/>
    <w:rsid w:val="009D4D84"/>
    <w:rsid w:val="009D4DF0"/>
    <w:rsid w:val="009D4F76"/>
    <w:rsid w:val="009D4FDB"/>
    <w:rsid w:val="009D50E6"/>
    <w:rsid w:val="009D5160"/>
    <w:rsid w:val="009D5239"/>
    <w:rsid w:val="009D523F"/>
    <w:rsid w:val="009D5598"/>
    <w:rsid w:val="009D569F"/>
    <w:rsid w:val="009D5782"/>
    <w:rsid w:val="009D57B4"/>
    <w:rsid w:val="009D5923"/>
    <w:rsid w:val="009D5C09"/>
    <w:rsid w:val="009D5C22"/>
    <w:rsid w:val="009D5F0D"/>
    <w:rsid w:val="009D5F1F"/>
    <w:rsid w:val="009D6206"/>
    <w:rsid w:val="009D620B"/>
    <w:rsid w:val="009D6374"/>
    <w:rsid w:val="009D6418"/>
    <w:rsid w:val="009D65EA"/>
    <w:rsid w:val="009D6634"/>
    <w:rsid w:val="009D6726"/>
    <w:rsid w:val="009D6BF4"/>
    <w:rsid w:val="009D6D9D"/>
    <w:rsid w:val="009D6EA6"/>
    <w:rsid w:val="009D6EEE"/>
    <w:rsid w:val="009D714C"/>
    <w:rsid w:val="009D7223"/>
    <w:rsid w:val="009D7425"/>
    <w:rsid w:val="009D746F"/>
    <w:rsid w:val="009D7676"/>
    <w:rsid w:val="009D7B85"/>
    <w:rsid w:val="009D7C61"/>
    <w:rsid w:val="009D7F7F"/>
    <w:rsid w:val="009E0222"/>
    <w:rsid w:val="009E0536"/>
    <w:rsid w:val="009E06BB"/>
    <w:rsid w:val="009E0AC2"/>
    <w:rsid w:val="009E0B63"/>
    <w:rsid w:val="009E0F99"/>
    <w:rsid w:val="009E1108"/>
    <w:rsid w:val="009E1307"/>
    <w:rsid w:val="009E1449"/>
    <w:rsid w:val="009E14A6"/>
    <w:rsid w:val="009E1A97"/>
    <w:rsid w:val="009E1C04"/>
    <w:rsid w:val="009E1C23"/>
    <w:rsid w:val="009E1D94"/>
    <w:rsid w:val="009E1E23"/>
    <w:rsid w:val="009E1EC9"/>
    <w:rsid w:val="009E1F5E"/>
    <w:rsid w:val="009E2106"/>
    <w:rsid w:val="009E221E"/>
    <w:rsid w:val="009E2297"/>
    <w:rsid w:val="009E242D"/>
    <w:rsid w:val="009E25BA"/>
    <w:rsid w:val="009E2621"/>
    <w:rsid w:val="009E28FE"/>
    <w:rsid w:val="009E2938"/>
    <w:rsid w:val="009E297C"/>
    <w:rsid w:val="009E297F"/>
    <w:rsid w:val="009E2B1F"/>
    <w:rsid w:val="009E2D22"/>
    <w:rsid w:val="009E2EE5"/>
    <w:rsid w:val="009E2EE7"/>
    <w:rsid w:val="009E2F7C"/>
    <w:rsid w:val="009E302F"/>
    <w:rsid w:val="009E304E"/>
    <w:rsid w:val="009E31BD"/>
    <w:rsid w:val="009E36A6"/>
    <w:rsid w:val="009E37A6"/>
    <w:rsid w:val="009E39A7"/>
    <w:rsid w:val="009E3B11"/>
    <w:rsid w:val="009E3C25"/>
    <w:rsid w:val="009E417C"/>
    <w:rsid w:val="009E42CB"/>
    <w:rsid w:val="009E42DF"/>
    <w:rsid w:val="009E432D"/>
    <w:rsid w:val="009E455E"/>
    <w:rsid w:val="009E4605"/>
    <w:rsid w:val="009E4871"/>
    <w:rsid w:val="009E488C"/>
    <w:rsid w:val="009E4AD4"/>
    <w:rsid w:val="009E4AFC"/>
    <w:rsid w:val="009E4B9D"/>
    <w:rsid w:val="009E4C00"/>
    <w:rsid w:val="009E4C94"/>
    <w:rsid w:val="009E5179"/>
    <w:rsid w:val="009E51EA"/>
    <w:rsid w:val="009E5234"/>
    <w:rsid w:val="009E53EF"/>
    <w:rsid w:val="009E56DC"/>
    <w:rsid w:val="009E5AB4"/>
    <w:rsid w:val="009E5B77"/>
    <w:rsid w:val="009E5C22"/>
    <w:rsid w:val="009E5E1C"/>
    <w:rsid w:val="009E6028"/>
    <w:rsid w:val="009E6118"/>
    <w:rsid w:val="009E61B3"/>
    <w:rsid w:val="009E62A9"/>
    <w:rsid w:val="009E6650"/>
    <w:rsid w:val="009E6952"/>
    <w:rsid w:val="009E6C7F"/>
    <w:rsid w:val="009E70A0"/>
    <w:rsid w:val="009E70D6"/>
    <w:rsid w:val="009E7537"/>
    <w:rsid w:val="009E765B"/>
    <w:rsid w:val="009E794B"/>
    <w:rsid w:val="009E7A26"/>
    <w:rsid w:val="009E7F35"/>
    <w:rsid w:val="009F02BD"/>
    <w:rsid w:val="009F0337"/>
    <w:rsid w:val="009F0649"/>
    <w:rsid w:val="009F0964"/>
    <w:rsid w:val="009F0993"/>
    <w:rsid w:val="009F0CCA"/>
    <w:rsid w:val="009F0CCE"/>
    <w:rsid w:val="009F0DD7"/>
    <w:rsid w:val="009F0DEF"/>
    <w:rsid w:val="009F0F69"/>
    <w:rsid w:val="009F0F6E"/>
    <w:rsid w:val="009F1001"/>
    <w:rsid w:val="009F1034"/>
    <w:rsid w:val="009F1443"/>
    <w:rsid w:val="009F1601"/>
    <w:rsid w:val="009F175C"/>
    <w:rsid w:val="009F1789"/>
    <w:rsid w:val="009F19F4"/>
    <w:rsid w:val="009F1BA9"/>
    <w:rsid w:val="009F1C97"/>
    <w:rsid w:val="009F1D61"/>
    <w:rsid w:val="009F1E45"/>
    <w:rsid w:val="009F1F3A"/>
    <w:rsid w:val="009F2210"/>
    <w:rsid w:val="009F2717"/>
    <w:rsid w:val="009F287D"/>
    <w:rsid w:val="009F2899"/>
    <w:rsid w:val="009F2A9B"/>
    <w:rsid w:val="009F2FC0"/>
    <w:rsid w:val="009F3562"/>
    <w:rsid w:val="009F35BC"/>
    <w:rsid w:val="009F3696"/>
    <w:rsid w:val="009F3758"/>
    <w:rsid w:val="009F3822"/>
    <w:rsid w:val="009F38EA"/>
    <w:rsid w:val="009F390D"/>
    <w:rsid w:val="009F39BD"/>
    <w:rsid w:val="009F3AC5"/>
    <w:rsid w:val="009F3D7E"/>
    <w:rsid w:val="009F3DBB"/>
    <w:rsid w:val="009F3E37"/>
    <w:rsid w:val="009F40E4"/>
    <w:rsid w:val="009F41BD"/>
    <w:rsid w:val="009F47D9"/>
    <w:rsid w:val="009F4805"/>
    <w:rsid w:val="009F4A4F"/>
    <w:rsid w:val="009F4EF4"/>
    <w:rsid w:val="009F4F83"/>
    <w:rsid w:val="009F5108"/>
    <w:rsid w:val="009F52E9"/>
    <w:rsid w:val="009F539E"/>
    <w:rsid w:val="009F5518"/>
    <w:rsid w:val="009F55E8"/>
    <w:rsid w:val="009F56A2"/>
    <w:rsid w:val="009F56DF"/>
    <w:rsid w:val="009F588F"/>
    <w:rsid w:val="009F590A"/>
    <w:rsid w:val="009F5F0B"/>
    <w:rsid w:val="009F5FFD"/>
    <w:rsid w:val="009F60CB"/>
    <w:rsid w:val="009F64F9"/>
    <w:rsid w:val="009F65CB"/>
    <w:rsid w:val="009F6720"/>
    <w:rsid w:val="009F6781"/>
    <w:rsid w:val="009F6906"/>
    <w:rsid w:val="009F7219"/>
    <w:rsid w:val="009F7363"/>
    <w:rsid w:val="009F7D86"/>
    <w:rsid w:val="009F7DC6"/>
    <w:rsid w:val="009F7E86"/>
    <w:rsid w:val="00A00191"/>
    <w:rsid w:val="00A00355"/>
    <w:rsid w:val="00A00452"/>
    <w:rsid w:val="00A006A0"/>
    <w:rsid w:val="00A00C35"/>
    <w:rsid w:val="00A00D3C"/>
    <w:rsid w:val="00A00E9B"/>
    <w:rsid w:val="00A01277"/>
    <w:rsid w:val="00A01326"/>
    <w:rsid w:val="00A0137D"/>
    <w:rsid w:val="00A016C2"/>
    <w:rsid w:val="00A01945"/>
    <w:rsid w:val="00A01972"/>
    <w:rsid w:val="00A01B3B"/>
    <w:rsid w:val="00A01C99"/>
    <w:rsid w:val="00A01E8B"/>
    <w:rsid w:val="00A01F8C"/>
    <w:rsid w:val="00A020DF"/>
    <w:rsid w:val="00A0238D"/>
    <w:rsid w:val="00A025C7"/>
    <w:rsid w:val="00A02A3A"/>
    <w:rsid w:val="00A02AD9"/>
    <w:rsid w:val="00A02BC1"/>
    <w:rsid w:val="00A02C3A"/>
    <w:rsid w:val="00A03103"/>
    <w:rsid w:val="00A03197"/>
    <w:rsid w:val="00A03554"/>
    <w:rsid w:val="00A0359F"/>
    <w:rsid w:val="00A0364D"/>
    <w:rsid w:val="00A03AD3"/>
    <w:rsid w:val="00A03B5F"/>
    <w:rsid w:val="00A03BB7"/>
    <w:rsid w:val="00A040AF"/>
    <w:rsid w:val="00A041D3"/>
    <w:rsid w:val="00A0445C"/>
    <w:rsid w:val="00A0447E"/>
    <w:rsid w:val="00A0458E"/>
    <w:rsid w:val="00A048B5"/>
    <w:rsid w:val="00A04AF8"/>
    <w:rsid w:val="00A04DE3"/>
    <w:rsid w:val="00A04FAD"/>
    <w:rsid w:val="00A04FAE"/>
    <w:rsid w:val="00A05040"/>
    <w:rsid w:val="00A05238"/>
    <w:rsid w:val="00A05381"/>
    <w:rsid w:val="00A055BE"/>
    <w:rsid w:val="00A05649"/>
    <w:rsid w:val="00A057FC"/>
    <w:rsid w:val="00A0595E"/>
    <w:rsid w:val="00A05996"/>
    <w:rsid w:val="00A05C9E"/>
    <w:rsid w:val="00A060EB"/>
    <w:rsid w:val="00A0626F"/>
    <w:rsid w:val="00A065B2"/>
    <w:rsid w:val="00A06778"/>
    <w:rsid w:val="00A067EC"/>
    <w:rsid w:val="00A06A5E"/>
    <w:rsid w:val="00A06DF5"/>
    <w:rsid w:val="00A06E2D"/>
    <w:rsid w:val="00A0709A"/>
    <w:rsid w:val="00A07393"/>
    <w:rsid w:val="00A07410"/>
    <w:rsid w:val="00A07470"/>
    <w:rsid w:val="00A07520"/>
    <w:rsid w:val="00A0763E"/>
    <w:rsid w:val="00A076B5"/>
    <w:rsid w:val="00A07AF2"/>
    <w:rsid w:val="00A07B4C"/>
    <w:rsid w:val="00A07EE6"/>
    <w:rsid w:val="00A101DD"/>
    <w:rsid w:val="00A10204"/>
    <w:rsid w:val="00A102A9"/>
    <w:rsid w:val="00A105E5"/>
    <w:rsid w:val="00A10676"/>
    <w:rsid w:val="00A106B7"/>
    <w:rsid w:val="00A107E3"/>
    <w:rsid w:val="00A10814"/>
    <w:rsid w:val="00A108B4"/>
    <w:rsid w:val="00A10A89"/>
    <w:rsid w:val="00A10CB1"/>
    <w:rsid w:val="00A10EA0"/>
    <w:rsid w:val="00A10F52"/>
    <w:rsid w:val="00A112EA"/>
    <w:rsid w:val="00A11634"/>
    <w:rsid w:val="00A1165A"/>
    <w:rsid w:val="00A11962"/>
    <w:rsid w:val="00A121A8"/>
    <w:rsid w:val="00A121F2"/>
    <w:rsid w:val="00A12366"/>
    <w:rsid w:val="00A1250E"/>
    <w:rsid w:val="00A1259D"/>
    <w:rsid w:val="00A12627"/>
    <w:rsid w:val="00A12639"/>
    <w:rsid w:val="00A12A57"/>
    <w:rsid w:val="00A12B79"/>
    <w:rsid w:val="00A12C36"/>
    <w:rsid w:val="00A12E6B"/>
    <w:rsid w:val="00A13093"/>
    <w:rsid w:val="00A1330C"/>
    <w:rsid w:val="00A136DF"/>
    <w:rsid w:val="00A139C6"/>
    <w:rsid w:val="00A13A31"/>
    <w:rsid w:val="00A13C42"/>
    <w:rsid w:val="00A13F2C"/>
    <w:rsid w:val="00A13F44"/>
    <w:rsid w:val="00A14414"/>
    <w:rsid w:val="00A1463B"/>
    <w:rsid w:val="00A14780"/>
    <w:rsid w:val="00A14B66"/>
    <w:rsid w:val="00A14DF9"/>
    <w:rsid w:val="00A14E96"/>
    <w:rsid w:val="00A14FDD"/>
    <w:rsid w:val="00A151F5"/>
    <w:rsid w:val="00A152CD"/>
    <w:rsid w:val="00A1533A"/>
    <w:rsid w:val="00A153BF"/>
    <w:rsid w:val="00A153FA"/>
    <w:rsid w:val="00A1547D"/>
    <w:rsid w:val="00A156B6"/>
    <w:rsid w:val="00A15942"/>
    <w:rsid w:val="00A15956"/>
    <w:rsid w:val="00A15A26"/>
    <w:rsid w:val="00A15B33"/>
    <w:rsid w:val="00A15C84"/>
    <w:rsid w:val="00A15FE9"/>
    <w:rsid w:val="00A1618D"/>
    <w:rsid w:val="00A162AD"/>
    <w:rsid w:val="00A1640D"/>
    <w:rsid w:val="00A16596"/>
    <w:rsid w:val="00A1668F"/>
    <w:rsid w:val="00A1676F"/>
    <w:rsid w:val="00A16A3B"/>
    <w:rsid w:val="00A16C1A"/>
    <w:rsid w:val="00A16D99"/>
    <w:rsid w:val="00A16E04"/>
    <w:rsid w:val="00A16FF4"/>
    <w:rsid w:val="00A170C6"/>
    <w:rsid w:val="00A17114"/>
    <w:rsid w:val="00A17221"/>
    <w:rsid w:val="00A1733C"/>
    <w:rsid w:val="00A174FA"/>
    <w:rsid w:val="00A1769D"/>
    <w:rsid w:val="00A17783"/>
    <w:rsid w:val="00A17786"/>
    <w:rsid w:val="00A177E4"/>
    <w:rsid w:val="00A17826"/>
    <w:rsid w:val="00A17904"/>
    <w:rsid w:val="00A17AF9"/>
    <w:rsid w:val="00A17B6C"/>
    <w:rsid w:val="00A17E97"/>
    <w:rsid w:val="00A17EA6"/>
    <w:rsid w:val="00A20027"/>
    <w:rsid w:val="00A20037"/>
    <w:rsid w:val="00A2006C"/>
    <w:rsid w:val="00A200BD"/>
    <w:rsid w:val="00A203C3"/>
    <w:rsid w:val="00A20559"/>
    <w:rsid w:val="00A20A4E"/>
    <w:rsid w:val="00A20F68"/>
    <w:rsid w:val="00A20FFE"/>
    <w:rsid w:val="00A21003"/>
    <w:rsid w:val="00A210A7"/>
    <w:rsid w:val="00A21532"/>
    <w:rsid w:val="00A21629"/>
    <w:rsid w:val="00A2185E"/>
    <w:rsid w:val="00A218D3"/>
    <w:rsid w:val="00A21AD7"/>
    <w:rsid w:val="00A21D9A"/>
    <w:rsid w:val="00A21ECC"/>
    <w:rsid w:val="00A21F4E"/>
    <w:rsid w:val="00A223D5"/>
    <w:rsid w:val="00A227A4"/>
    <w:rsid w:val="00A229B4"/>
    <w:rsid w:val="00A22D68"/>
    <w:rsid w:val="00A22D94"/>
    <w:rsid w:val="00A22F5D"/>
    <w:rsid w:val="00A23486"/>
    <w:rsid w:val="00A23579"/>
    <w:rsid w:val="00A235BD"/>
    <w:rsid w:val="00A235CD"/>
    <w:rsid w:val="00A2388B"/>
    <w:rsid w:val="00A246C8"/>
    <w:rsid w:val="00A2486E"/>
    <w:rsid w:val="00A248A4"/>
    <w:rsid w:val="00A2491C"/>
    <w:rsid w:val="00A24D84"/>
    <w:rsid w:val="00A24D97"/>
    <w:rsid w:val="00A25396"/>
    <w:rsid w:val="00A2558D"/>
    <w:rsid w:val="00A257E0"/>
    <w:rsid w:val="00A259B1"/>
    <w:rsid w:val="00A259C5"/>
    <w:rsid w:val="00A25B71"/>
    <w:rsid w:val="00A25BF8"/>
    <w:rsid w:val="00A25C80"/>
    <w:rsid w:val="00A25C9C"/>
    <w:rsid w:val="00A2605A"/>
    <w:rsid w:val="00A260BD"/>
    <w:rsid w:val="00A260CD"/>
    <w:rsid w:val="00A261DB"/>
    <w:rsid w:val="00A26331"/>
    <w:rsid w:val="00A26440"/>
    <w:rsid w:val="00A2653C"/>
    <w:rsid w:val="00A265C6"/>
    <w:rsid w:val="00A26620"/>
    <w:rsid w:val="00A2675D"/>
    <w:rsid w:val="00A26927"/>
    <w:rsid w:val="00A26A48"/>
    <w:rsid w:val="00A26A86"/>
    <w:rsid w:val="00A26F84"/>
    <w:rsid w:val="00A2709D"/>
    <w:rsid w:val="00A2730D"/>
    <w:rsid w:val="00A273D8"/>
    <w:rsid w:val="00A27986"/>
    <w:rsid w:val="00A27B14"/>
    <w:rsid w:val="00A27C08"/>
    <w:rsid w:val="00A27C0F"/>
    <w:rsid w:val="00A27C4D"/>
    <w:rsid w:val="00A30407"/>
    <w:rsid w:val="00A3042A"/>
    <w:rsid w:val="00A3055D"/>
    <w:rsid w:val="00A30666"/>
    <w:rsid w:val="00A30689"/>
    <w:rsid w:val="00A30747"/>
    <w:rsid w:val="00A30983"/>
    <w:rsid w:val="00A31005"/>
    <w:rsid w:val="00A31853"/>
    <w:rsid w:val="00A31AAD"/>
    <w:rsid w:val="00A31B34"/>
    <w:rsid w:val="00A31BE2"/>
    <w:rsid w:val="00A31D4E"/>
    <w:rsid w:val="00A31D7E"/>
    <w:rsid w:val="00A31D92"/>
    <w:rsid w:val="00A31E0C"/>
    <w:rsid w:val="00A31E11"/>
    <w:rsid w:val="00A32059"/>
    <w:rsid w:val="00A3206B"/>
    <w:rsid w:val="00A320B4"/>
    <w:rsid w:val="00A32856"/>
    <w:rsid w:val="00A32BFA"/>
    <w:rsid w:val="00A32E32"/>
    <w:rsid w:val="00A32F42"/>
    <w:rsid w:val="00A32FF6"/>
    <w:rsid w:val="00A33435"/>
    <w:rsid w:val="00A335B7"/>
    <w:rsid w:val="00A3396A"/>
    <w:rsid w:val="00A33A6B"/>
    <w:rsid w:val="00A33BA5"/>
    <w:rsid w:val="00A33C1B"/>
    <w:rsid w:val="00A33CD4"/>
    <w:rsid w:val="00A34092"/>
    <w:rsid w:val="00A340E6"/>
    <w:rsid w:val="00A344BC"/>
    <w:rsid w:val="00A346EE"/>
    <w:rsid w:val="00A348FD"/>
    <w:rsid w:val="00A34ABC"/>
    <w:rsid w:val="00A35004"/>
    <w:rsid w:val="00A353A4"/>
    <w:rsid w:val="00A35569"/>
    <w:rsid w:val="00A35BAB"/>
    <w:rsid w:val="00A35E44"/>
    <w:rsid w:val="00A36444"/>
    <w:rsid w:val="00A364D5"/>
    <w:rsid w:val="00A364DE"/>
    <w:rsid w:val="00A365CE"/>
    <w:rsid w:val="00A3681B"/>
    <w:rsid w:val="00A36A0C"/>
    <w:rsid w:val="00A36B31"/>
    <w:rsid w:val="00A36EDE"/>
    <w:rsid w:val="00A36F56"/>
    <w:rsid w:val="00A3709C"/>
    <w:rsid w:val="00A372F9"/>
    <w:rsid w:val="00A373E4"/>
    <w:rsid w:val="00A373F1"/>
    <w:rsid w:val="00A374AD"/>
    <w:rsid w:val="00A378FC"/>
    <w:rsid w:val="00A37A29"/>
    <w:rsid w:val="00A37A43"/>
    <w:rsid w:val="00A37C1E"/>
    <w:rsid w:val="00A37D4C"/>
    <w:rsid w:val="00A40214"/>
    <w:rsid w:val="00A403EC"/>
    <w:rsid w:val="00A405D2"/>
    <w:rsid w:val="00A4060E"/>
    <w:rsid w:val="00A408F9"/>
    <w:rsid w:val="00A40BEA"/>
    <w:rsid w:val="00A411A1"/>
    <w:rsid w:val="00A41212"/>
    <w:rsid w:val="00A4132B"/>
    <w:rsid w:val="00A41354"/>
    <w:rsid w:val="00A4148A"/>
    <w:rsid w:val="00A41523"/>
    <w:rsid w:val="00A424AD"/>
    <w:rsid w:val="00A4251F"/>
    <w:rsid w:val="00A425FB"/>
    <w:rsid w:val="00A42641"/>
    <w:rsid w:val="00A426B1"/>
    <w:rsid w:val="00A42750"/>
    <w:rsid w:val="00A42A1C"/>
    <w:rsid w:val="00A42A9B"/>
    <w:rsid w:val="00A42D3E"/>
    <w:rsid w:val="00A42F4E"/>
    <w:rsid w:val="00A43021"/>
    <w:rsid w:val="00A4310C"/>
    <w:rsid w:val="00A433C6"/>
    <w:rsid w:val="00A4361F"/>
    <w:rsid w:val="00A43627"/>
    <w:rsid w:val="00A43B24"/>
    <w:rsid w:val="00A43C27"/>
    <w:rsid w:val="00A43D51"/>
    <w:rsid w:val="00A441EC"/>
    <w:rsid w:val="00A442C5"/>
    <w:rsid w:val="00A445B3"/>
    <w:rsid w:val="00A44835"/>
    <w:rsid w:val="00A448A5"/>
    <w:rsid w:val="00A44946"/>
    <w:rsid w:val="00A44C56"/>
    <w:rsid w:val="00A44E90"/>
    <w:rsid w:val="00A44EBA"/>
    <w:rsid w:val="00A44EC7"/>
    <w:rsid w:val="00A4506D"/>
    <w:rsid w:val="00A450A2"/>
    <w:rsid w:val="00A450FA"/>
    <w:rsid w:val="00A452FC"/>
    <w:rsid w:val="00A4544D"/>
    <w:rsid w:val="00A45625"/>
    <w:rsid w:val="00A456B4"/>
    <w:rsid w:val="00A45B62"/>
    <w:rsid w:val="00A45C6D"/>
    <w:rsid w:val="00A45DBA"/>
    <w:rsid w:val="00A45F90"/>
    <w:rsid w:val="00A4600D"/>
    <w:rsid w:val="00A4603D"/>
    <w:rsid w:val="00A46163"/>
    <w:rsid w:val="00A4654D"/>
    <w:rsid w:val="00A469D2"/>
    <w:rsid w:val="00A469D8"/>
    <w:rsid w:val="00A46C16"/>
    <w:rsid w:val="00A46E8F"/>
    <w:rsid w:val="00A46FA5"/>
    <w:rsid w:val="00A472D4"/>
    <w:rsid w:val="00A47306"/>
    <w:rsid w:val="00A4731F"/>
    <w:rsid w:val="00A476A6"/>
    <w:rsid w:val="00A477E1"/>
    <w:rsid w:val="00A47AD1"/>
    <w:rsid w:val="00A47D7E"/>
    <w:rsid w:val="00A5002E"/>
    <w:rsid w:val="00A5005C"/>
    <w:rsid w:val="00A500EE"/>
    <w:rsid w:val="00A5016F"/>
    <w:rsid w:val="00A501E9"/>
    <w:rsid w:val="00A50227"/>
    <w:rsid w:val="00A50419"/>
    <w:rsid w:val="00A50996"/>
    <w:rsid w:val="00A50B0B"/>
    <w:rsid w:val="00A50CB7"/>
    <w:rsid w:val="00A51406"/>
    <w:rsid w:val="00A5144F"/>
    <w:rsid w:val="00A5145B"/>
    <w:rsid w:val="00A51602"/>
    <w:rsid w:val="00A51722"/>
    <w:rsid w:val="00A51BA9"/>
    <w:rsid w:val="00A51C78"/>
    <w:rsid w:val="00A51D4F"/>
    <w:rsid w:val="00A51E3C"/>
    <w:rsid w:val="00A51FBC"/>
    <w:rsid w:val="00A520A5"/>
    <w:rsid w:val="00A520EC"/>
    <w:rsid w:val="00A52393"/>
    <w:rsid w:val="00A523CB"/>
    <w:rsid w:val="00A523E2"/>
    <w:rsid w:val="00A52462"/>
    <w:rsid w:val="00A52468"/>
    <w:rsid w:val="00A5265C"/>
    <w:rsid w:val="00A528A0"/>
    <w:rsid w:val="00A528CA"/>
    <w:rsid w:val="00A528D2"/>
    <w:rsid w:val="00A52984"/>
    <w:rsid w:val="00A52A56"/>
    <w:rsid w:val="00A52BF2"/>
    <w:rsid w:val="00A52D9A"/>
    <w:rsid w:val="00A52F50"/>
    <w:rsid w:val="00A52F67"/>
    <w:rsid w:val="00A53298"/>
    <w:rsid w:val="00A533E9"/>
    <w:rsid w:val="00A534CE"/>
    <w:rsid w:val="00A5355C"/>
    <w:rsid w:val="00A53793"/>
    <w:rsid w:val="00A53C10"/>
    <w:rsid w:val="00A53DBE"/>
    <w:rsid w:val="00A53DEC"/>
    <w:rsid w:val="00A541DB"/>
    <w:rsid w:val="00A54993"/>
    <w:rsid w:val="00A54A51"/>
    <w:rsid w:val="00A54AA7"/>
    <w:rsid w:val="00A54E6C"/>
    <w:rsid w:val="00A54EB8"/>
    <w:rsid w:val="00A54FBB"/>
    <w:rsid w:val="00A5520E"/>
    <w:rsid w:val="00A555F6"/>
    <w:rsid w:val="00A5563A"/>
    <w:rsid w:val="00A557B6"/>
    <w:rsid w:val="00A55824"/>
    <w:rsid w:val="00A5583B"/>
    <w:rsid w:val="00A55A97"/>
    <w:rsid w:val="00A55AA1"/>
    <w:rsid w:val="00A55E3C"/>
    <w:rsid w:val="00A55E96"/>
    <w:rsid w:val="00A55ED4"/>
    <w:rsid w:val="00A56082"/>
    <w:rsid w:val="00A5626C"/>
    <w:rsid w:val="00A5644F"/>
    <w:rsid w:val="00A564B8"/>
    <w:rsid w:val="00A56540"/>
    <w:rsid w:val="00A565AC"/>
    <w:rsid w:val="00A56972"/>
    <w:rsid w:val="00A56B4C"/>
    <w:rsid w:val="00A56FCE"/>
    <w:rsid w:val="00A5753E"/>
    <w:rsid w:val="00A576F7"/>
    <w:rsid w:val="00A57A87"/>
    <w:rsid w:val="00A57BE5"/>
    <w:rsid w:val="00A57E32"/>
    <w:rsid w:val="00A57E68"/>
    <w:rsid w:val="00A60155"/>
    <w:rsid w:val="00A601A1"/>
    <w:rsid w:val="00A602B3"/>
    <w:rsid w:val="00A60353"/>
    <w:rsid w:val="00A6059F"/>
    <w:rsid w:val="00A605A6"/>
    <w:rsid w:val="00A6067E"/>
    <w:rsid w:val="00A606D3"/>
    <w:rsid w:val="00A60942"/>
    <w:rsid w:val="00A60C9F"/>
    <w:rsid w:val="00A60E65"/>
    <w:rsid w:val="00A60F12"/>
    <w:rsid w:val="00A61426"/>
    <w:rsid w:val="00A6164E"/>
    <w:rsid w:val="00A6171F"/>
    <w:rsid w:val="00A61755"/>
    <w:rsid w:val="00A617F1"/>
    <w:rsid w:val="00A61B93"/>
    <w:rsid w:val="00A61BAF"/>
    <w:rsid w:val="00A61E74"/>
    <w:rsid w:val="00A6202F"/>
    <w:rsid w:val="00A620A7"/>
    <w:rsid w:val="00A62116"/>
    <w:rsid w:val="00A62129"/>
    <w:rsid w:val="00A6241F"/>
    <w:rsid w:val="00A626E4"/>
    <w:rsid w:val="00A62892"/>
    <w:rsid w:val="00A62A60"/>
    <w:rsid w:val="00A62B4B"/>
    <w:rsid w:val="00A62D23"/>
    <w:rsid w:val="00A62E26"/>
    <w:rsid w:val="00A6335A"/>
    <w:rsid w:val="00A634E1"/>
    <w:rsid w:val="00A6357E"/>
    <w:rsid w:val="00A63695"/>
    <w:rsid w:val="00A63854"/>
    <w:rsid w:val="00A638D7"/>
    <w:rsid w:val="00A63CE2"/>
    <w:rsid w:val="00A63D54"/>
    <w:rsid w:val="00A64146"/>
    <w:rsid w:val="00A641CB"/>
    <w:rsid w:val="00A643D2"/>
    <w:rsid w:val="00A64553"/>
    <w:rsid w:val="00A64816"/>
    <w:rsid w:val="00A648CF"/>
    <w:rsid w:val="00A64D71"/>
    <w:rsid w:val="00A64DAF"/>
    <w:rsid w:val="00A64E2D"/>
    <w:rsid w:val="00A64EE3"/>
    <w:rsid w:val="00A65431"/>
    <w:rsid w:val="00A65547"/>
    <w:rsid w:val="00A65572"/>
    <w:rsid w:val="00A655BC"/>
    <w:rsid w:val="00A65686"/>
    <w:rsid w:val="00A6598A"/>
    <w:rsid w:val="00A65ADD"/>
    <w:rsid w:val="00A65B38"/>
    <w:rsid w:val="00A65E63"/>
    <w:rsid w:val="00A65EB8"/>
    <w:rsid w:val="00A66467"/>
    <w:rsid w:val="00A66C01"/>
    <w:rsid w:val="00A66CDF"/>
    <w:rsid w:val="00A66F1E"/>
    <w:rsid w:val="00A67087"/>
    <w:rsid w:val="00A6711A"/>
    <w:rsid w:val="00A67239"/>
    <w:rsid w:val="00A674C7"/>
    <w:rsid w:val="00A67865"/>
    <w:rsid w:val="00A67C59"/>
    <w:rsid w:val="00A67CDD"/>
    <w:rsid w:val="00A67E13"/>
    <w:rsid w:val="00A67F87"/>
    <w:rsid w:val="00A70069"/>
    <w:rsid w:val="00A704C2"/>
    <w:rsid w:val="00A70615"/>
    <w:rsid w:val="00A7068F"/>
    <w:rsid w:val="00A7098C"/>
    <w:rsid w:val="00A70AB4"/>
    <w:rsid w:val="00A70F69"/>
    <w:rsid w:val="00A71249"/>
    <w:rsid w:val="00A71340"/>
    <w:rsid w:val="00A71608"/>
    <w:rsid w:val="00A718A6"/>
    <w:rsid w:val="00A71DAB"/>
    <w:rsid w:val="00A71ECA"/>
    <w:rsid w:val="00A721B7"/>
    <w:rsid w:val="00A7233B"/>
    <w:rsid w:val="00A72577"/>
    <w:rsid w:val="00A7266E"/>
    <w:rsid w:val="00A7270C"/>
    <w:rsid w:val="00A72757"/>
    <w:rsid w:val="00A72854"/>
    <w:rsid w:val="00A72B77"/>
    <w:rsid w:val="00A730DC"/>
    <w:rsid w:val="00A733AF"/>
    <w:rsid w:val="00A7341A"/>
    <w:rsid w:val="00A73442"/>
    <w:rsid w:val="00A735CE"/>
    <w:rsid w:val="00A73AC8"/>
    <w:rsid w:val="00A73B5D"/>
    <w:rsid w:val="00A73E01"/>
    <w:rsid w:val="00A74183"/>
    <w:rsid w:val="00A742CE"/>
    <w:rsid w:val="00A742E3"/>
    <w:rsid w:val="00A74484"/>
    <w:rsid w:val="00A747A8"/>
    <w:rsid w:val="00A74BFD"/>
    <w:rsid w:val="00A74BFF"/>
    <w:rsid w:val="00A74DA8"/>
    <w:rsid w:val="00A74DF2"/>
    <w:rsid w:val="00A74F20"/>
    <w:rsid w:val="00A75137"/>
    <w:rsid w:val="00A7520A"/>
    <w:rsid w:val="00A75FE0"/>
    <w:rsid w:val="00A765F3"/>
    <w:rsid w:val="00A766EF"/>
    <w:rsid w:val="00A76A74"/>
    <w:rsid w:val="00A76AA4"/>
    <w:rsid w:val="00A76E1D"/>
    <w:rsid w:val="00A76F84"/>
    <w:rsid w:val="00A772A3"/>
    <w:rsid w:val="00A773EE"/>
    <w:rsid w:val="00A77567"/>
    <w:rsid w:val="00A77972"/>
    <w:rsid w:val="00A7797D"/>
    <w:rsid w:val="00A77A2D"/>
    <w:rsid w:val="00A8004B"/>
    <w:rsid w:val="00A8047C"/>
    <w:rsid w:val="00A806ED"/>
    <w:rsid w:val="00A8084A"/>
    <w:rsid w:val="00A808BC"/>
    <w:rsid w:val="00A80957"/>
    <w:rsid w:val="00A80AA0"/>
    <w:rsid w:val="00A80D39"/>
    <w:rsid w:val="00A80F7E"/>
    <w:rsid w:val="00A8128C"/>
    <w:rsid w:val="00A8130E"/>
    <w:rsid w:val="00A8156E"/>
    <w:rsid w:val="00A81617"/>
    <w:rsid w:val="00A8177D"/>
    <w:rsid w:val="00A81871"/>
    <w:rsid w:val="00A81B4A"/>
    <w:rsid w:val="00A81B61"/>
    <w:rsid w:val="00A81E85"/>
    <w:rsid w:val="00A81FD9"/>
    <w:rsid w:val="00A82035"/>
    <w:rsid w:val="00A825FC"/>
    <w:rsid w:val="00A827A5"/>
    <w:rsid w:val="00A828B8"/>
    <w:rsid w:val="00A82916"/>
    <w:rsid w:val="00A82974"/>
    <w:rsid w:val="00A82A46"/>
    <w:rsid w:val="00A82EAC"/>
    <w:rsid w:val="00A831A5"/>
    <w:rsid w:val="00A83327"/>
    <w:rsid w:val="00A833BC"/>
    <w:rsid w:val="00A83522"/>
    <w:rsid w:val="00A8361D"/>
    <w:rsid w:val="00A83919"/>
    <w:rsid w:val="00A83D32"/>
    <w:rsid w:val="00A83E61"/>
    <w:rsid w:val="00A83F72"/>
    <w:rsid w:val="00A83FAE"/>
    <w:rsid w:val="00A84006"/>
    <w:rsid w:val="00A84059"/>
    <w:rsid w:val="00A841B2"/>
    <w:rsid w:val="00A84285"/>
    <w:rsid w:val="00A8455D"/>
    <w:rsid w:val="00A8470A"/>
    <w:rsid w:val="00A84941"/>
    <w:rsid w:val="00A84C2B"/>
    <w:rsid w:val="00A84DB7"/>
    <w:rsid w:val="00A84FE5"/>
    <w:rsid w:val="00A85030"/>
    <w:rsid w:val="00A850AF"/>
    <w:rsid w:val="00A851E0"/>
    <w:rsid w:val="00A8525A"/>
    <w:rsid w:val="00A85402"/>
    <w:rsid w:val="00A85613"/>
    <w:rsid w:val="00A8582F"/>
    <w:rsid w:val="00A8596B"/>
    <w:rsid w:val="00A85973"/>
    <w:rsid w:val="00A85B96"/>
    <w:rsid w:val="00A85D5D"/>
    <w:rsid w:val="00A86070"/>
    <w:rsid w:val="00A86140"/>
    <w:rsid w:val="00A8694E"/>
    <w:rsid w:val="00A86A2D"/>
    <w:rsid w:val="00A872DA"/>
    <w:rsid w:val="00A8734F"/>
    <w:rsid w:val="00A87426"/>
    <w:rsid w:val="00A87873"/>
    <w:rsid w:val="00A87AC8"/>
    <w:rsid w:val="00A87BCB"/>
    <w:rsid w:val="00A87EED"/>
    <w:rsid w:val="00A87F01"/>
    <w:rsid w:val="00A900AF"/>
    <w:rsid w:val="00A90310"/>
    <w:rsid w:val="00A90382"/>
    <w:rsid w:val="00A903A7"/>
    <w:rsid w:val="00A90495"/>
    <w:rsid w:val="00A90496"/>
    <w:rsid w:val="00A904A8"/>
    <w:rsid w:val="00A90828"/>
    <w:rsid w:val="00A908E7"/>
    <w:rsid w:val="00A90928"/>
    <w:rsid w:val="00A90977"/>
    <w:rsid w:val="00A90AE5"/>
    <w:rsid w:val="00A90B93"/>
    <w:rsid w:val="00A90C4C"/>
    <w:rsid w:val="00A90FFF"/>
    <w:rsid w:val="00A91079"/>
    <w:rsid w:val="00A912FC"/>
    <w:rsid w:val="00A91462"/>
    <w:rsid w:val="00A91476"/>
    <w:rsid w:val="00A91820"/>
    <w:rsid w:val="00A91AD2"/>
    <w:rsid w:val="00A91B2A"/>
    <w:rsid w:val="00A91C34"/>
    <w:rsid w:val="00A91DA0"/>
    <w:rsid w:val="00A92097"/>
    <w:rsid w:val="00A921EA"/>
    <w:rsid w:val="00A92209"/>
    <w:rsid w:val="00A9222D"/>
    <w:rsid w:val="00A92300"/>
    <w:rsid w:val="00A92515"/>
    <w:rsid w:val="00A92A82"/>
    <w:rsid w:val="00A92BE2"/>
    <w:rsid w:val="00A92C4B"/>
    <w:rsid w:val="00A92C6E"/>
    <w:rsid w:val="00A92F43"/>
    <w:rsid w:val="00A93271"/>
    <w:rsid w:val="00A9348A"/>
    <w:rsid w:val="00A93519"/>
    <w:rsid w:val="00A93777"/>
    <w:rsid w:val="00A937D4"/>
    <w:rsid w:val="00A93A33"/>
    <w:rsid w:val="00A93BE1"/>
    <w:rsid w:val="00A941D7"/>
    <w:rsid w:val="00A94535"/>
    <w:rsid w:val="00A94726"/>
    <w:rsid w:val="00A94739"/>
    <w:rsid w:val="00A94EA5"/>
    <w:rsid w:val="00A94EE2"/>
    <w:rsid w:val="00A94EF9"/>
    <w:rsid w:val="00A95092"/>
    <w:rsid w:val="00A955A2"/>
    <w:rsid w:val="00A95980"/>
    <w:rsid w:val="00A95A00"/>
    <w:rsid w:val="00A95C5B"/>
    <w:rsid w:val="00A9631D"/>
    <w:rsid w:val="00A9659A"/>
    <w:rsid w:val="00A96639"/>
    <w:rsid w:val="00A96813"/>
    <w:rsid w:val="00A96997"/>
    <w:rsid w:val="00A96AB5"/>
    <w:rsid w:val="00A96F86"/>
    <w:rsid w:val="00A971F0"/>
    <w:rsid w:val="00A97279"/>
    <w:rsid w:val="00A972C4"/>
    <w:rsid w:val="00A97413"/>
    <w:rsid w:val="00A974E0"/>
    <w:rsid w:val="00A975E8"/>
    <w:rsid w:val="00A976F7"/>
    <w:rsid w:val="00A9798B"/>
    <w:rsid w:val="00A97B75"/>
    <w:rsid w:val="00A97DDC"/>
    <w:rsid w:val="00AA00D8"/>
    <w:rsid w:val="00AA0299"/>
    <w:rsid w:val="00AA02D8"/>
    <w:rsid w:val="00AA0332"/>
    <w:rsid w:val="00AA04FB"/>
    <w:rsid w:val="00AA06AB"/>
    <w:rsid w:val="00AA08AD"/>
    <w:rsid w:val="00AA098F"/>
    <w:rsid w:val="00AA0C0F"/>
    <w:rsid w:val="00AA0FEA"/>
    <w:rsid w:val="00AA108A"/>
    <w:rsid w:val="00AA1807"/>
    <w:rsid w:val="00AA180D"/>
    <w:rsid w:val="00AA1829"/>
    <w:rsid w:val="00AA1981"/>
    <w:rsid w:val="00AA1AFB"/>
    <w:rsid w:val="00AA2014"/>
    <w:rsid w:val="00AA2020"/>
    <w:rsid w:val="00AA2071"/>
    <w:rsid w:val="00AA20D1"/>
    <w:rsid w:val="00AA20D2"/>
    <w:rsid w:val="00AA2207"/>
    <w:rsid w:val="00AA23C2"/>
    <w:rsid w:val="00AA242F"/>
    <w:rsid w:val="00AA24B1"/>
    <w:rsid w:val="00AA2628"/>
    <w:rsid w:val="00AA2AA6"/>
    <w:rsid w:val="00AA2D6C"/>
    <w:rsid w:val="00AA2E1B"/>
    <w:rsid w:val="00AA2FC6"/>
    <w:rsid w:val="00AA3299"/>
    <w:rsid w:val="00AA344B"/>
    <w:rsid w:val="00AA35B1"/>
    <w:rsid w:val="00AA3776"/>
    <w:rsid w:val="00AA398D"/>
    <w:rsid w:val="00AA3DE4"/>
    <w:rsid w:val="00AA3E93"/>
    <w:rsid w:val="00AA3F5D"/>
    <w:rsid w:val="00AA4240"/>
    <w:rsid w:val="00AA4335"/>
    <w:rsid w:val="00AA4347"/>
    <w:rsid w:val="00AA4447"/>
    <w:rsid w:val="00AA46DA"/>
    <w:rsid w:val="00AA4B58"/>
    <w:rsid w:val="00AA4C72"/>
    <w:rsid w:val="00AA4D60"/>
    <w:rsid w:val="00AA4FFC"/>
    <w:rsid w:val="00AA51CB"/>
    <w:rsid w:val="00AA5301"/>
    <w:rsid w:val="00AA534D"/>
    <w:rsid w:val="00AA5533"/>
    <w:rsid w:val="00AA5AAE"/>
    <w:rsid w:val="00AA5BB0"/>
    <w:rsid w:val="00AA5D55"/>
    <w:rsid w:val="00AA5ED5"/>
    <w:rsid w:val="00AA6146"/>
    <w:rsid w:val="00AA652B"/>
    <w:rsid w:val="00AA670E"/>
    <w:rsid w:val="00AA6DC6"/>
    <w:rsid w:val="00AA6E02"/>
    <w:rsid w:val="00AA7047"/>
    <w:rsid w:val="00AA732E"/>
    <w:rsid w:val="00AA7480"/>
    <w:rsid w:val="00AA74D8"/>
    <w:rsid w:val="00AA7508"/>
    <w:rsid w:val="00AA7518"/>
    <w:rsid w:val="00AA768E"/>
    <w:rsid w:val="00AA78CD"/>
    <w:rsid w:val="00AA78E3"/>
    <w:rsid w:val="00AA7D28"/>
    <w:rsid w:val="00AA7FA2"/>
    <w:rsid w:val="00AB020A"/>
    <w:rsid w:val="00AB0236"/>
    <w:rsid w:val="00AB0344"/>
    <w:rsid w:val="00AB0799"/>
    <w:rsid w:val="00AB07F1"/>
    <w:rsid w:val="00AB0AF8"/>
    <w:rsid w:val="00AB0BFE"/>
    <w:rsid w:val="00AB0C6E"/>
    <w:rsid w:val="00AB0D5B"/>
    <w:rsid w:val="00AB0E1C"/>
    <w:rsid w:val="00AB0F15"/>
    <w:rsid w:val="00AB0FBD"/>
    <w:rsid w:val="00AB1551"/>
    <w:rsid w:val="00AB1570"/>
    <w:rsid w:val="00AB18C5"/>
    <w:rsid w:val="00AB1939"/>
    <w:rsid w:val="00AB1A54"/>
    <w:rsid w:val="00AB1C5B"/>
    <w:rsid w:val="00AB1D37"/>
    <w:rsid w:val="00AB2076"/>
    <w:rsid w:val="00AB233A"/>
    <w:rsid w:val="00AB23DA"/>
    <w:rsid w:val="00AB2460"/>
    <w:rsid w:val="00AB2556"/>
    <w:rsid w:val="00AB2691"/>
    <w:rsid w:val="00AB2AC5"/>
    <w:rsid w:val="00AB2B08"/>
    <w:rsid w:val="00AB2BD5"/>
    <w:rsid w:val="00AB2D46"/>
    <w:rsid w:val="00AB2F33"/>
    <w:rsid w:val="00AB314C"/>
    <w:rsid w:val="00AB31D3"/>
    <w:rsid w:val="00AB3231"/>
    <w:rsid w:val="00AB33A3"/>
    <w:rsid w:val="00AB34D7"/>
    <w:rsid w:val="00AB3547"/>
    <w:rsid w:val="00AB35EC"/>
    <w:rsid w:val="00AB3688"/>
    <w:rsid w:val="00AB380C"/>
    <w:rsid w:val="00AB3DFC"/>
    <w:rsid w:val="00AB41F0"/>
    <w:rsid w:val="00AB4313"/>
    <w:rsid w:val="00AB444D"/>
    <w:rsid w:val="00AB4457"/>
    <w:rsid w:val="00AB4666"/>
    <w:rsid w:val="00AB476D"/>
    <w:rsid w:val="00AB4819"/>
    <w:rsid w:val="00AB48F4"/>
    <w:rsid w:val="00AB4922"/>
    <w:rsid w:val="00AB49C2"/>
    <w:rsid w:val="00AB4BC0"/>
    <w:rsid w:val="00AB500F"/>
    <w:rsid w:val="00AB5147"/>
    <w:rsid w:val="00AB5351"/>
    <w:rsid w:val="00AB5406"/>
    <w:rsid w:val="00AB55B3"/>
    <w:rsid w:val="00AB5849"/>
    <w:rsid w:val="00AB5913"/>
    <w:rsid w:val="00AB59D0"/>
    <w:rsid w:val="00AB5FD2"/>
    <w:rsid w:val="00AB5FDE"/>
    <w:rsid w:val="00AB5FEA"/>
    <w:rsid w:val="00AB6091"/>
    <w:rsid w:val="00AB621E"/>
    <w:rsid w:val="00AB635B"/>
    <w:rsid w:val="00AB68AD"/>
    <w:rsid w:val="00AB690B"/>
    <w:rsid w:val="00AB6971"/>
    <w:rsid w:val="00AB6A4F"/>
    <w:rsid w:val="00AB6EBD"/>
    <w:rsid w:val="00AB70CC"/>
    <w:rsid w:val="00AB7259"/>
    <w:rsid w:val="00AB738D"/>
    <w:rsid w:val="00AB7542"/>
    <w:rsid w:val="00AB75D2"/>
    <w:rsid w:val="00AB779D"/>
    <w:rsid w:val="00AB7851"/>
    <w:rsid w:val="00AB7BA1"/>
    <w:rsid w:val="00AB7DB2"/>
    <w:rsid w:val="00AC00C3"/>
    <w:rsid w:val="00AC012A"/>
    <w:rsid w:val="00AC014C"/>
    <w:rsid w:val="00AC01D9"/>
    <w:rsid w:val="00AC03C3"/>
    <w:rsid w:val="00AC0541"/>
    <w:rsid w:val="00AC0614"/>
    <w:rsid w:val="00AC06CE"/>
    <w:rsid w:val="00AC0728"/>
    <w:rsid w:val="00AC0942"/>
    <w:rsid w:val="00AC0990"/>
    <w:rsid w:val="00AC0EA8"/>
    <w:rsid w:val="00AC1019"/>
    <w:rsid w:val="00AC1183"/>
    <w:rsid w:val="00AC11D0"/>
    <w:rsid w:val="00AC11FB"/>
    <w:rsid w:val="00AC1D36"/>
    <w:rsid w:val="00AC1EA4"/>
    <w:rsid w:val="00AC2218"/>
    <w:rsid w:val="00AC23CC"/>
    <w:rsid w:val="00AC255F"/>
    <w:rsid w:val="00AC269F"/>
    <w:rsid w:val="00AC27E9"/>
    <w:rsid w:val="00AC28F7"/>
    <w:rsid w:val="00AC292B"/>
    <w:rsid w:val="00AC295F"/>
    <w:rsid w:val="00AC2ACF"/>
    <w:rsid w:val="00AC2E0C"/>
    <w:rsid w:val="00AC3075"/>
    <w:rsid w:val="00AC31F6"/>
    <w:rsid w:val="00AC3411"/>
    <w:rsid w:val="00AC355B"/>
    <w:rsid w:val="00AC37E2"/>
    <w:rsid w:val="00AC3860"/>
    <w:rsid w:val="00AC3A2F"/>
    <w:rsid w:val="00AC3BED"/>
    <w:rsid w:val="00AC3CB2"/>
    <w:rsid w:val="00AC3CF6"/>
    <w:rsid w:val="00AC4061"/>
    <w:rsid w:val="00AC41AE"/>
    <w:rsid w:val="00AC42DF"/>
    <w:rsid w:val="00AC44A9"/>
    <w:rsid w:val="00AC482A"/>
    <w:rsid w:val="00AC49DA"/>
    <w:rsid w:val="00AC4DDD"/>
    <w:rsid w:val="00AC4E73"/>
    <w:rsid w:val="00AC50C6"/>
    <w:rsid w:val="00AC50F4"/>
    <w:rsid w:val="00AC510D"/>
    <w:rsid w:val="00AC5113"/>
    <w:rsid w:val="00AC5278"/>
    <w:rsid w:val="00AC52DD"/>
    <w:rsid w:val="00AC54CB"/>
    <w:rsid w:val="00AC566D"/>
    <w:rsid w:val="00AC5766"/>
    <w:rsid w:val="00AC578E"/>
    <w:rsid w:val="00AC58FC"/>
    <w:rsid w:val="00AC5C38"/>
    <w:rsid w:val="00AC5CFC"/>
    <w:rsid w:val="00AC5F2B"/>
    <w:rsid w:val="00AC5FCA"/>
    <w:rsid w:val="00AC608C"/>
    <w:rsid w:val="00AC60D6"/>
    <w:rsid w:val="00AC6465"/>
    <w:rsid w:val="00AC65C4"/>
    <w:rsid w:val="00AC6D14"/>
    <w:rsid w:val="00AC6D20"/>
    <w:rsid w:val="00AC6D52"/>
    <w:rsid w:val="00AC6E60"/>
    <w:rsid w:val="00AC7009"/>
    <w:rsid w:val="00AC7051"/>
    <w:rsid w:val="00AC70B0"/>
    <w:rsid w:val="00AC7186"/>
    <w:rsid w:val="00AC724B"/>
    <w:rsid w:val="00AC7278"/>
    <w:rsid w:val="00AC72CC"/>
    <w:rsid w:val="00AC7463"/>
    <w:rsid w:val="00AC751A"/>
    <w:rsid w:val="00AC7535"/>
    <w:rsid w:val="00AC7820"/>
    <w:rsid w:val="00AC7A23"/>
    <w:rsid w:val="00AC7DA0"/>
    <w:rsid w:val="00AC7F79"/>
    <w:rsid w:val="00AD0144"/>
    <w:rsid w:val="00AD01CE"/>
    <w:rsid w:val="00AD07C0"/>
    <w:rsid w:val="00AD0D84"/>
    <w:rsid w:val="00AD0DF7"/>
    <w:rsid w:val="00AD0EDD"/>
    <w:rsid w:val="00AD0F78"/>
    <w:rsid w:val="00AD0F80"/>
    <w:rsid w:val="00AD11EA"/>
    <w:rsid w:val="00AD12FC"/>
    <w:rsid w:val="00AD14E7"/>
    <w:rsid w:val="00AD14EF"/>
    <w:rsid w:val="00AD159C"/>
    <w:rsid w:val="00AD15C7"/>
    <w:rsid w:val="00AD186C"/>
    <w:rsid w:val="00AD19D1"/>
    <w:rsid w:val="00AD1AAC"/>
    <w:rsid w:val="00AD1B05"/>
    <w:rsid w:val="00AD1D6B"/>
    <w:rsid w:val="00AD25E7"/>
    <w:rsid w:val="00AD270A"/>
    <w:rsid w:val="00AD2BCD"/>
    <w:rsid w:val="00AD2D87"/>
    <w:rsid w:val="00AD2D9D"/>
    <w:rsid w:val="00AD3298"/>
    <w:rsid w:val="00AD3299"/>
    <w:rsid w:val="00AD3860"/>
    <w:rsid w:val="00AD4368"/>
    <w:rsid w:val="00AD4980"/>
    <w:rsid w:val="00AD49F2"/>
    <w:rsid w:val="00AD4AA9"/>
    <w:rsid w:val="00AD4B8E"/>
    <w:rsid w:val="00AD4C1B"/>
    <w:rsid w:val="00AD4C32"/>
    <w:rsid w:val="00AD4CC9"/>
    <w:rsid w:val="00AD50FF"/>
    <w:rsid w:val="00AD512E"/>
    <w:rsid w:val="00AD5167"/>
    <w:rsid w:val="00AD51D7"/>
    <w:rsid w:val="00AD5298"/>
    <w:rsid w:val="00AD5415"/>
    <w:rsid w:val="00AD5761"/>
    <w:rsid w:val="00AD59DB"/>
    <w:rsid w:val="00AD5CCD"/>
    <w:rsid w:val="00AD5DCE"/>
    <w:rsid w:val="00AD6144"/>
    <w:rsid w:val="00AD6561"/>
    <w:rsid w:val="00AD673B"/>
    <w:rsid w:val="00AD6741"/>
    <w:rsid w:val="00AD6871"/>
    <w:rsid w:val="00AD6AD2"/>
    <w:rsid w:val="00AD6C7D"/>
    <w:rsid w:val="00AD6CE9"/>
    <w:rsid w:val="00AD6D19"/>
    <w:rsid w:val="00AD6EB8"/>
    <w:rsid w:val="00AD6EC0"/>
    <w:rsid w:val="00AD747E"/>
    <w:rsid w:val="00AD78E2"/>
    <w:rsid w:val="00AD7B13"/>
    <w:rsid w:val="00AD7C72"/>
    <w:rsid w:val="00AD7E55"/>
    <w:rsid w:val="00AD7FE5"/>
    <w:rsid w:val="00AE02AB"/>
    <w:rsid w:val="00AE02EA"/>
    <w:rsid w:val="00AE03AA"/>
    <w:rsid w:val="00AE04A7"/>
    <w:rsid w:val="00AE059C"/>
    <w:rsid w:val="00AE0669"/>
    <w:rsid w:val="00AE071D"/>
    <w:rsid w:val="00AE0734"/>
    <w:rsid w:val="00AE076A"/>
    <w:rsid w:val="00AE07AE"/>
    <w:rsid w:val="00AE08F7"/>
    <w:rsid w:val="00AE090F"/>
    <w:rsid w:val="00AE0B2E"/>
    <w:rsid w:val="00AE0C94"/>
    <w:rsid w:val="00AE0DDC"/>
    <w:rsid w:val="00AE16A7"/>
    <w:rsid w:val="00AE1CDE"/>
    <w:rsid w:val="00AE1EEB"/>
    <w:rsid w:val="00AE2423"/>
    <w:rsid w:val="00AE24AF"/>
    <w:rsid w:val="00AE25E8"/>
    <w:rsid w:val="00AE27A4"/>
    <w:rsid w:val="00AE2CEF"/>
    <w:rsid w:val="00AE2D5E"/>
    <w:rsid w:val="00AE2E00"/>
    <w:rsid w:val="00AE2ECA"/>
    <w:rsid w:val="00AE2F57"/>
    <w:rsid w:val="00AE32C3"/>
    <w:rsid w:val="00AE33E6"/>
    <w:rsid w:val="00AE35F8"/>
    <w:rsid w:val="00AE378B"/>
    <w:rsid w:val="00AE3799"/>
    <w:rsid w:val="00AE39CC"/>
    <w:rsid w:val="00AE39F4"/>
    <w:rsid w:val="00AE3A77"/>
    <w:rsid w:val="00AE3ADC"/>
    <w:rsid w:val="00AE3B11"/>
    <w:rsid w:val="00AE3B6B"/>
    <w:rsid w:val="00AE3BB5"/>
    <w:rsid w:val="00AE3C76"/>
    <w:rsid w:val="00AE3CFC"/>
    <w:rsid w:val="00AE3DA7"/>
    <w:rsid w:val="00AE3DD8"/>
    <w:rsid w:val="00AE3DEE"/>
    <w:rsid w:val="00AE3F25"/>
    <w:rsid w:val="00AE415D"/>
    <w:rsid w:val="00AE4173"/>
    <w:rsid w:val="00AE4504"/>
    <w:rsid w:val="00AE4568"/>
    <w:rsid w:val="00AE47A8"/>
    <w:rsid w:val="00AE4808"/>
    <w:rsid w:val="00AE4AAD"/>
    <w:rsid w:val="00AE4AD0"/>
    <w:rsid w:val="00AE4DC1"/>
    <w:rsid w:val="00AE4DE4"/>
    <w:rsid w:val="00AE5238"/>
    <w:rsid w:val="00AE526E"/>
    <w:rsid w:val="00AE547F"/>
    <w:rsid w:val="00AE59D0"/>
    <w:rsid w:val="00AE5DEC"/>
    <w:rsid w:val="00AE5E26"/>
    <w:rsid w:val="00AE5E5B"/>
    <w:rsid w:val="00AE603C"/>
    <w:rsid w:val="00AE612B"/>
    <w:rsid w:val="00AE6502"/>
    <w:rsid w:val="00AE680F"/>
    <w:rsid w:val="00AE6B57"/>
    <w:rsid w:val="00AE6DC8"/>
    <w:rsid w:val="00AE6F3E"/>
    <w:rsid w:val="00AE73CF"/>
    <w:rsid w:val="00AE74AC"/>
    <w:rsid w:val="00AE7706"/>
    <w:rsid w:val="00AE771A"/>
    <w:rsid w:val="00AE7832"/>
    <w:rsid w:val="00AE78A3"/>
    <w:rsid w:val="00AE78D5"/>
    <w:rsid w:val="00AE79C5"/>
    <w:rsid w:val="00AE7A19"/>
    <w:rsid w:val="00AE7D25"/>
    <w:rsid w:val="00AE7D62"/>
    <w:rsid w:val="00AF0021"/>
    <w:rsid w:val="00AF01D1"/>
    <w:rsid w:val="00AF03E7"/>
    <w:rsid w:val="00AF03ED"/>
    <w:rsid w:val="00AF04E7"/>
    <w:rsid w:val="00AF067E"/>
    <w:rsid w:val="00AF06FC"/>
    <w:rsid w:val="00AF082F"/>
    <w:rsid w:val="00AF0B01"/>
    <w:rsid w:val="00AF0D96"/>
    <w:rsid w:val="00AF0EB3"/>
    <w:rsid w:val="00AF0F47"/>
    <w:rsid w:val="00AF0FBE"/>
    <w:rsid w:val="00AF1380"/>
    <w:rsid w:val="00AF14F2"/>
    <w:rsid w:val="00AF1553"/>
    <w:rsid w:val="00AF162E"/>
    <w:rsid w:val="00AF1814"/>
    <w:rsid w:val="00AF1911"/>
    <w:rsid w:val="00AF1C13"/>
    <w:rsid w:val="00AF1C4A"/>
    <w:rsid w:val="00AF1CBE"/>
    <w:rsid w:val="00AF1DC4"/>
    <w:rsid w:val="00AF1FA4"/>
    <w:rsid w:val="00AF20B8"/>
    <w:rsid w:val="00AF20F0"/>
    <w:rsid w:val="00AF2647"/>
    <w:rsid w:val="00AF26DC"/>
    <w:rsid w:val="00AF27DC"/>
    <w:rsid w:val="00AF283E"/>
    <w:rsid w:val="00AF2925"/>
    <w:rsid w:val="00AF29C0"/>
    <w:rsid w:val="00AF2A7A"/>
    <w:rsid w:val="00AF2B0E"/>
    <w:rsid w:val="00AF2D0C"/>
    <w:rsid w:val="00AF2F6B"/>
    <w:rsid w:val="00AF31CD"/>
    <w:rsid w:val="00AF32D1"/>
    <w:rsid w:val="00AF3580"/>
    <w:rsid w:val="00AF362B"/>
    <w:rsid w:val="00AF3800"/>
    <w:rsid w:val="00AF38BD"/>
    <w:rsid w:val="00AF3A6F"/>
    <w:rsid w:val="00AF3A8E"/>
    <w:rsid w:val="00AF3CCC"/>
    <w:rsid w:val="00AF3EE6"/>
    <w:rsid w:val="00AF3FD0"/>
    <w:rsid w:val="00AF3FDF"/>
    <w:rsid w:val="00AF41FC"/>
    <w:rsid w:val="00AF4474"/>
    <w:rsid w:val="00AF473F"/>
    <w:rsid w:val="00AF4ABD"/>
    <w:rsid w:val="00AF4C39"/>
    <w:rsid w:val="00AF4CC9"/>
    <w:rsid w:val="00AF4E08"/>
    <w:rsid w:val="00AF4EB6"/>
    <w:rsid w:val="00AF52E9"/>
    <w:rsid w:val="00AF53CE"/>
    <w:rsid w:val="00AF56A6"/>
    <w:rsid w:val="00AF5F47"/>
    <w:rsid w:val="00AF5FB9"/>
    <w:rsid w:val="00AF6570"/>
    <w:rsid w:val="00AF67D2"/>
    <w:rsid w:val="00AF6851"/>
    <w:rsid w:val="00AF68B8"/>
    <w:rsid w:val="00AF69C6"/>
    <w:rsid w:val="00AF69E0"/>
    <w:rsid w:val="00AF6A64"/>
    <w:rsid w:val="00AF6CD9"/>
    <w:rsid w:val="00AF6E6E"/>
    <w:rsid w:val="00AF702B"/>
    <w:rsid w:val="00AF7142"/>
    <w:rsid w:val="00AF7485"/>
    <w:rsid w:val="00AF7516"/>
    <w:rsid w:val="00AF756C"/>
    <w:rsid w:val="00AF7625"/>
    <w:rsid w:val="00AF7A9A"/>
    <w:rsid w:val="00AF7F59"/>
    <w:rsid w:val="00B00091"/>
    <w:rsid w:val="00B00435"/>
    <w:rsid w:val="00B006D1"/>
    <w:rsid w:val="00B008BC"/>
    <w:rsid w:val="00B00B9C"/>
    <w:rsid w:val="00B00FA4"/>
    <w:rsid w:val="00B0126A"/>
    <w:rsid w:val="00B014EC"/>
    <w:rsid w:val="00B01564"/>
    <w:rsid w:val="00B01650"/>
    <w:rsid w:val="00B017E0"/>
    <w:rsid w:val="00B01E85"/>
    <w:rsid w:val="00B01FCF"/>
    <w:rsid w:val="00B0214A"/>
    <w:rsid w:val="00B02243"/>
    <w:rsid w:val="00B022E7"/>
    <w:rsid w:val="00B02460"/>
    <w:rsid w:val="00B026E4"/>
    <w:rsid w:val="00B0272E"/>
    <w:rsid w:val="00B029B1"/>
    <w:rsid w:val="00B02F49"/>
    <w:rsid w:val="00B034A8"/>
    <w:rsid w:val="00B034C1"/>
    <w:rsid w:val="00B03510"/>
    <w:rsid w:val="00B035D2"/>
    <w:rsid w:val="00B03649"/>
    <w:rsid w:val="00B03EB0"/>
    <w:rsid w:val="00B03F63"/>
    <w:rsid w:val="00B0452C"/>
    <w:rsid w:val="00B0460F"/>
    <w:rsid w:val="00B048A7"/>
    <w:rsid w:val="00B04982"/>
    <w:rsid w:val="00B049DC"/>
    <w:rsid w:val="00B04BCC"/>
    <w:rsid w:val="00B04BDC"/>
    <w:rsid w:val="00B04C9A"/>
    <w:rsid w:val="00B04CCA"/>
    <w:rsid w:val="00B04CD0"/>
    <w:rsid w:val="00B04E56"/>
    <w:rsid w:val="00B04F21"/>
    <w:rsid w:val="00B04F46"/>
    <w:rsid w:val="00B04FC7"/>
    <w:rsid w:val="00B0505F"/>
    <w:rsid w:val="00B0510D"/>
    <w:rsid w:val="00B05141"/>
    <w:rsid w:val="00B055F0"/>
    <w:rsid w:val="00B05AB3"/>
    <w:rsid w:val="00B05C38"/>
    <w:rsid w:val="00B05C7F"/>
    <w:rsid w:val="00B05E78"/>
    <w:rsid w:val="00B05FBE"/>
    <w:rsid w:val="00B06098"/>
    <w:rsid w:val="00B061C5"/>
    <w:rsid w:val="00B061EF"/>
    <w:rsid w:val="00B064BA"/>
    <w:rsid w:val="00B064CF"/>
    <w:rsid w:val="00B06561"/>
    <w:rsid w:val="00B06752"/>
    <w:rsid w:val="00B06778"/>
    <w:rsid w:val="00B06938"/>
    <w:rsid w:val="00B06A46"/>
    <w:rsid w:val="00B06B2A"/>
    <w:rsid w:val="00B06B3D"/>
    <w:rsid w:val="00B06C94"/>
    <w:rsid w:val="00B06EA3"/>
    <w:rsid w:val="00B06F99"/>
    <w:rsid w:val="00B0713A"/>
    <w:rsid w:val="00B073D8"/>
    <w:rsid w:val="00B076C6"/>
    <w:rsid w:val="00B078AC"/>
    <w:rsid w:val="00B07D01"/>
    <w:rsid w:val="00B07F01"/>
    <w:rsid w:val="00B1000C"/>
    <w:rsid w:val="00B101AF"/>
    <w:rsid w:val="00B101EF"/>
    <w:rsid w:val="00B106B4"/>
    <w:rsid w:val="00B1097D"/>
    <w:rsid w:val="00B1098F"/>
    <w:rsid w:val="00B10D4C"/>
    <w:rsid w:val="00B10E02"/>
    <w:rsid w:val="00B10F01"/>
    <w:rsid w:val="00B11036"/>
    <w:rsid w:val="00B110C8"/>
    <w:rsid w:val="00B110F5"/>
    <w:rsid w:val="00B111F0"/>
    <w:rsid w:val="00B11262"/>
    <w:rsid w:val="00B1129A"/>
    <w:rsid w:val="00B112EA"/>
    <w:rsid w:val="00B1165F"/>
    <w:rsid w:val="00B11F15"/>
    <w:rsid w:val="00B12120"/>
    <w:rsid w:val="00B1216A"/>
    <w:rsid w:val="00B12293"/>
    <w:rsid w:val="00B12296"/>
    <w:rsid w:val="00B12343"/>
    <w:rsid w:val="00B1234A"/>
    <w:rsid w:val="00B127E2"/>
    <w:rsid w:val="00B128DB"/>
    <w:rsid w:val="00B12B66"/>
    <w:rsid w:val="00B12D58"/>
    <w:rsid w:val="00B12E88"/>
    <w:rsid w:val="00B134C5"/>
    <w:rsid w:val="00B13555"/>
    <w:rsid w:val="00B13770"/>
    <w:rsid w:val="00B13784"/>
    <w:rsid w:val="00B137F8"/>
    <w:rsid w:val="00B1390A"/>
    <w:rsid w:val="00B13FB5"/>
    <w:rsid w:val="00B143CB"/>
    <w:rsid w:val="00B1457B"/>
    <w:rsid w:val="00B146BE"/>
    <w:rsid w:val="00B14778"/>
    <w:rsid w:val="00B14851"/>
    <w:rsid w:val="00B14D21"/>
    <w:rsid w:val="00B14ECA"/>
    <w:rsid w:val="00B14F8B"/>
    <w:rsid w:val="00B15057"/>
    <w:rsid w:val="00B15179"/>
    <w:rsid w:val="00B15227"/>
    <w:rsid w:val="00B15443"/>
    <w:rsid w:val="00B1566C"/>
    <w:rsid w:val="00B156BC"/>
    <w:rsid w:val="00B1590A"/>
    <w:rsid w:val="00B15D0F"/>
    <w:rsid w:val="00B16150"/>
    <w:rsid w:val="00B161E6"/>
    <w:rsid w:val="00B1620E"/>
    <w:rsid w:val="00B16240"/>
    <w:rsid w:val="00B162A5"/>
    <w:rsid w:val="00B169EB"/>
    <w:rsid w:val="00B16A4D"/>
    <w:rsid w:val="00B16D11"/>
    <w:rsid w:val="00B16D1F"/>
    <w:rsid w:val="00B170E3"/>
    <w:rsid w:val="00B17206"/>
    <w:rsid w:val="00B17317"/>
    <w:rsid w:val="00B17481"/>
    <w:rsid w:val="00B1778E"/>
    <w:rsid w:val="00B17912"/>
    <w:rsid w:val="00B17BDE"/>
    <w:rsid w:val="00B17F3E"/>
    <w:rsid w:val="00B17F57"/>
    <w:rsid w:val="00B20160"/>
    <w:rsid w:val="00B20307"/>
    <w:rsid w:val="00B20482"/>
    <w:rsid w:val="00B20857"/>
    <w:rsid w:val="00B208B6"/>
    <w:rsid w:val="00B20D2F"/>
    <w:rsid w:val="00B20DCA"/>
    <w:rsid w:val="00B20DD8"/>
    <w:rsid w:val="00B20E6B"/>
    <w:rsid w:val="00B20E94"/>
    <w:rsid w:val="00B2103E"/>
    <w:rsid w:val="00B21184"/>
    <w:rsid w:val="00B214E9"/>
    <w:rsid w:val="00B2155D"/>
    <w:rsid w:val="00B216DD"/>
    <w:rsid w:val="00B218EA"/>
    <w:rsid w:val="00B21D01"/>
    <w:rsid w:val="00B220B4"/>
    <w:rsid w:val="00B222FD"/>
    <w:rsid w:val="00B224A8"/>
    <w:rsid w:val="00B22654"/>
    <w:rsid w:val="00B22A2E"/>
    <w:rsid w:val="00B23305"/>
    <w:rsid w:val="00B23514"/>
    <w:rsid w:val="00B23539"/>
    <w:rsid w:val="00B23838"/>
    <w:rsid w:val="00B23BA0"/>
    <w:rsid w:val="00B23C04"/>
    <w:rsid w:val="00B23F7A"/>
    <w:rsid w:val="00B2412B"/>
    <w:rsid w:val="00B24203"/>
    <w:rsid w:val="00B246B2"/>
    <w:rsid w:val="00B24733"/>
    <w:rsid w:val="00B24928"/>
    <w:rsid w:val="00B24B74"/>
    <w:rsid w:val="00B24BD6"/>
    <w:rsid w:val="00B24C1E"/>
    <w:rsid w:val="00B24C66"/>
    <w:rsid w:val="00B254DF"/>
    <w:rsid w:val="00B255CC"/>
    <w:rsid w:val="00B25633"/>
    <w:rsid w:val="00B25693"/>
    <w:rsid w:val="00B259B6"/>
    <w:rsid w:val="00B25C83"/>
    <w:rsid w:val="00B25CAB"/>
    <w:rsid w:val="00B25ED1"/>
    <w:rsid w:val="00B25ED6"/>
    <w:rsid w:val="00B26071"/>
    <w:rsid w:val="00B2608B"/>
    <w:rsid w:val="00B261F4"/>
    <w:rsid w:val="00B2623A"/>
    <w:rsid w:val="00B2629F"/>
    <w:rsid w:val="00B26499"/>
    <w:rsid w:val="00B264F9"/>
    <w:rsid w:val="00B2659F"/>
    <w:rsid w:val="00B26650"/>
    <w:rsid w:val="00B26BB8"/>
    <w:rsid w:val="00B26C0D"/>
    <w:rsid w:val="00B26CB8"/>
    <w:rsid w:val="00B26DC2"/>
    <w:rsid w:val="00B272E2"/>
    <w:rsid w:val="00B27334"/>
    <w:rsid w:val="00B274BE"/>
    <w:rsid w:val="00B277AC"/>
    <w:rsid w:val="00B27815"/>
    <w:rsid w:val="00B27858"/>
    <w:rsid w:val="00B278F5"/>
    <w:rsid w:val="00B27A92"/>
    <w:rsid w:val="00B30054"/>
    <w:rsid w:val="00B30353"/>
    <w:rsid w:val="00B3061A"/>
    <w:rsid w:val="00B3066E"/>
    <w:rsid w:val="00B309BB"/>
    <w:rsid w:val="00B30AB5"/>
    <w:rsid w:val="00B30E9D"/>
    <w:rsid w:val="00B30FD7"/>
    <w:rsid w:val="00B3110A"/>
    <w:rsid w:val="00B3162D"/>
    <w:rsid w:val="00B316D3"/>
    <w:rsid w:val="00B31702"/>
    <w:rsid w:val="00B31976"/>
    <w:rsid w:val="00B31BBD"/>
    <w:rsid w:val="00B31BDA"/>
    <w:rsid w:val="00B31D58"/>
    <w:rsid w:val="00B32066"/>
    <w:rsid w:val="00B320AB"/>
    <w:rsid w:val="00B324BE"/>
    <w:rsid w:val="00B32554"/>
    <w:rsid w:val="00B326A4"/>
    <w:rsid w:val="00B3276C"/>
    <w:rsid w:val="00B32D11"/>
    <w:rsid w:val="00B32DB6"/>
    <w:rsid w:val="00B32DC9"/>
    <w:rsid w:val="00B32E1D"/>
    <w:rsid w:val="00B32F07"/>
    <w:rsid w:val="00B32F20"/>
    <w:rsid w:val="00B335C5"/>
    <w:rsid w:val="00B335CD"/>
    <w:rsid w:val="00B33813"/>
    <w:rsid w:val="00B33A32"/>
    <w:rsid w:val="00B33A9C"/>
    <w:rsid w:val="00B33C0D"/>
    <w:rsid w:val="00B33FB7"/>
    <w:rsid w:val="00B34032"/>
    <w:rsid w:val="00B342C3"/>
    <w:rsid w:val="00B34348"/>
    <w:rsid w:val="00B34421"/>
    <w:rsid w:val="00B344BC"/>
    <w:rsid w:val="00B34512"/>
    <w:rsid w:val="00B34533"/>
    <w:rsid w:val="00B34646"/>
    <w:rsid w:val="00B34967"/>
    <w:rsid w:val="00B34A48"/>
    <w:rsid w:val="00B34AA4"/>
    <w:rsid w:val="00B34C54"/>
    <w:rsid w:val="00B34DC9"/>
    <w:rsid w:val="00B35135"/>
    <w:rsid w:val="00B3522B"/>
    <w:rsid w:val="00B35262"/>
    <w:rsid w:val="00B352EA"/>
    <w:rsid w:val="00B35380"/>
    <w:rsid w:val="00B35441"/>
    <w:rsid w:val="00B354CA"/>
    <w:rsid w:val="00B359D3"/>
    <w:rsid w:val="00B35A37"/>
    <w:rsid w:val="00B35A61"/>
    <w:rsid w:val="00B35B25"/>
    <w:rsid w:val="00B35B83"/>
    <w:rsid w:val="00B35DEB"/>
    <w:rsid w:val="00B35EB0"/>
    <w:rsid w:val="00B35ECE"/>
    <w:rsid w:val="00B360B7"/>
    <w:rsid w:val="00B36137"/>
    <w:rsid w:val="00B362BE"/>
    <w:rsid w:val="00B362C7"/>
    <w:rsid w:val="00B362E9"/>
    <w:rsid w:val="00B363A7"/>
    <w:rsid w:val="00B3670B"/>
    <w:rsid w:val="00B36754"/>
    <w:rsid w:val="00B3681D"/>
    <w:rsid w:val="00B36AD7"/>
    <w:rsid w:val="00B36CE8"/>
    <w:rsid w:val="00B37242"/>
    <w:rsid w:val="00B3731E"/>
    <w:rsid w:val="00B3752A"/>
    <w:rsid w:val="00B37566"/>
    <w:rsid w:val="00B3757D"/>
    <w:rsid w:val="00B37776"/>
    <w:rsid w:val="00B377B7"/>
    <w:rsid w:val="00B378A4"/>
    <w:rsid w:val="00B37B2B"/>
    <w:rsid w:val="00B37ED1"/>
    <w:rsid w:val="00B4032F"/>
    <w:rsid w:val="00B40499"/>
    <w:rsid w:val="00B4091F"/>
    <w:rsid w:val="00B40952"/>
    <w:rsid w:val="00B40B0F"/>
    <w:rsid w:val="00B40BA0"/>
    <w:rsid w:val="00B40BC7"/>
    <w:rsid w:val="00B40EFC"/>
    <w:rsid w:val="00B4103E"/>
    <w:rsid w:val="00B4118A"/>
    <w:rsid w:val="00B41570"/>
    <w:rsid w:val="00B4163E"/>
    <w:rsid w:val="00B418B2"/>
    <w:rsid w:val="00B41978"/>
    <w:rsid w:val="00B419F3"/>
    <w:rsid w:val="00B41AB0"/>
    <w:rsid w:val="00B41BC5"/>
    <w:rsid w:val="00B420C3"/>
    <w:rsid w:val="00B42226"/>
    <w:rsid w:val="00B422CD"/>
    <w:rsid w:val="00B4247E"/>
    <w:rsid w:val="00B42511"/>
    <w:rsid w:val="00B4254D"/>
    <w:rsid w:val="00B42665"/>
    <w:rsid w:val="00B42C10"/>
    <w:rsid w:val="00B430CC"/>
    <w:rsid w:val="00B4318E"/>
    <w:rsid w:val="00B4325F"/>
    <w:rsid w:val="00B433AD"/>
    <w:rsid w:val="00B43529"/>
    <w:rsid w:val="00B43570"/>
    <w:rsid w:val="00B43590"/>
    <w:rsid w:val="00B435BD"/>
    <w:rsid w:val="00B435BF"/>
    <w:rsid w:val="00B43882"/>
    <w:rsid w:val="00B438EF"/>
    <w:rsid w:val="00B43953"/>
    <w:rsid w:val="00B43F44"/>
    <w:rsid w:val="00B43FB1"/>
    <w:rsid w:val="00B44087"/>
    <w:rsid w:val="00B441CE"/>
    <w:rsid w:val="00B44362"/>
    <w:rsid w:val="00B445C0"/>
    <w:rsid w:val="00B4469C"/>
    <w:rsid w:val="00B44774"/>
    <w:rsid w:val="00B4490D"/>
    <w:rsid w:val="00B44B47"/>
    <w:rsid w:val="00B44B74"/>
    <w:rsid w:val="00B44C53"/>
    <w:rsid w:val="00B44CA1"/>
    <w:rsid w:val="00B44D6C"/>
    <w:rsid w:val="00B451E2"/>
    <w:rsid w:val="00B455C8"/>
    <w:rsid w:val="00B457B6"/>
    <w:rsid w:val="00B45C21"/>
    <w:rsid w:val="00B45CAE"/>
    <w:rsid w:val="00B45E32"/>
    <w:rsid w:val="00B45F58"/>
    <w:rsid w:val="00B45F5D"/>
    <w:rsid w:val="00B4607F"/>
    <w:rsid w:val="00B4640A"/>
    <w:rsid w:val="00B464C0"/>
    <w:rsid w:val="00B46639"/>
    <w:rsid w:val="00B468CC"/>
    <w:rsid w:val="00B46CB9"/>
    <w:rsid w:val="00B46E44"/>
    <w:rsid w:val="00B46EE1"/>
    <w:rsid w:val="00B46FCA"/>
    <w:rsid w:val="00B470F3"/>
    <w:rsid w:val="00B47188"/>
    <w:rsid w:val="00B474EC"/>
    <w:rsid w:val="00B47644"/>
    <w:rsid w:val="00B47742"/>
    <w:rsid w:val="00B47825"/>
    <w:rsid w:val="00B501BD"/>
    <w:rsid w:val="00B50529"/>
    <w:rsid w:val="00B506FC"/>
    <w:rsid w:val="00B5080D"/>
    <w:rsid w:val="00B50983"/>
    <w:rsid w:val="00B50F81"/>
    <w:rsid w:val="00B510BC"/>
    <w:rsid w:val="00B510C1"/>
    <w:rsid w:val="00B51248"/>
    <w:rsid w:val="00B512AC"/>
    <w:rsid w:val="00B51384"/>
    <w:rsid w:val="00B513E8"/>
    <w:rsid w:val="00B5168D"/>
    <w:rsid w:val="00B51896"/>
    <w:rsid w:val="00B5194A"/>
    <w:rsid w:val="00B51AD6"/>
    <w:rsid w:val="00B51DFB"/>
    <w:rsid w:val="00B520FE"/>
    <w:rsid w:val="00B52622"/>
    <w:rsid w:val="00B527C1"/>
    <w:rsid w:val="00B52DFE"/>
    <w:rsid w:val="00B52F9A"/>
    <w:rsid w:val="00B52FC8"/>
    <w:rsid w:val="00B53164"/>
    <w:rsid w:val="00B53286"/>
    <w:rsid w:val="00B53291"/>
    <w:rsid w:val="00B532E7"/>
    <w:rsid w:val="00B53324"/>
    <w:rsid w:val="00B5350A"/>
    <w:rsid w:val="00B5387F"/>
    <w:rsid w:val="00B53A1F"/>
    <w:rsid w:val="00B53CD9"/>
    <w:rsid w:val="00B53D15"/>
    <w:rsid w:val="00B53E59"/>
    <w:rsid w:val="00B54509"/>
    <w:rsid w:val="00B547D2"/>
    <w:rsid w:val="00B54963"/>
    <w:rsid w:val="00B54BE9"/>
    <w:rsid w:val="00B54C47"/>
    <w:rsid w:val="00B54DD1"/>
    <w:rsid w:val="00B54E95"/>
    <w:rsid w:val="00B552D9"/>
    <w:rsid w:val="00B55647"/>
    <w:rsid w:val="00B55674"/>
    <w:rsid w:val="00B557EB"/>
    <w:rsid w:val="00B55807"/>
    <w:rsid w:val="00B559FF"/>
    <w:rsid w:val="00B55AC9"/>
    <w:rsid w:val="00B55B92"/>
    <w:rsid w:val="00B55CFB"/>
    <w:rsid w:val="00B55E64"/>
    <w:rsid w:val="00B55EAB"/>
    <w:rsid w:val="00B55EC5"/>
    <w:rsid w:val="00B56687"/>
    <w:rsid w:val="00B56A75"/>
    <w:rsid w:val="00B56B00"/>
    <w:rsid w:val="00B56B46"/>
    <w:rsid w:val="00B56D08"/>
    <w:rsid w:val="00B56E3B"/>
    <w:rsid w:val="00B56F79"/>
    <w:rsid w:val="00B56F85"/>
    <w:rsid w:val="00B5717E"/>
    <w:rsid w:val="00B571D7"/>
    <w:rsid w:val="00B574D4"/>
    <w:rsid w:val="00B574DB"/>
    <w:rsid w:val="00B57887"/>
    <w:rsid w:val="00B578B8"/>
    <w:rsid w:val="00B57AD0"/>
    <w:rsid w:val="00B57BA6"/>
    <w:rsid w:val="00B57CF1"/>
    <w:rsid w:val="00B57EB7"/>
    <w:rsid w:val="00B57EEF"/>
    <w:rsid w:val="00B60133"/>
    <w:rsid w:val="00B60187"/>
    <w:rsid w:val="00B602E7"/>
    <w:rsid w:val="00B605DE"/>
    <w:rsid w:val="00B60638"/>
    <w:rsid w:val="00B606EB"/>
    <w:rsid w:val="00B60AE2"/>
    <w:rsid w:val="00B60BF4"/>
    <w:rsid w:val="00B60C12"/>
    <w:rsid w:val="00B60C58"/>
    <w:rsid w:val="00B61099"/>
    <w:rsid w:val="00B610DB"/>
    <w:rsid w:val="00B611F9"/>
    <w:rsid w:val="00B61339"/>
    <w:rsid w:val="00B61420"/>
    <w:rsid w:val="00B61441"/>
    <w:rsid w:val="00B61456"/>
    <w:rsid w:val="00B6149A"/>
    <w:rsid w:val="00B61560"/>
    <w:rsid w:val="00B617E7"/>
    <w:rsid w:val="00B6187E"/>
    <w:rsid w:val="00B6195E"/>
    <w:rsid w:val="00B61DC8"/>
    <w:rsid w:val="00B61F63"/>
    <w:rsid w:val="00B6219A"/>
    <w:rsid w:val="00B6223E"/>
    <w:rsid w:val="00B62319"/>
    <w:rsid w:val="00B62818"/>
    <w:rsid w:val="00B62C92"/>
    <w:rsid w:val="00B62FAC"/>
    <w:rsid w:val="00B63040"/>
    <w:rsid w:val="00B6334B"/>
    <w:rsid w:val="00B63365"/>
    <w:rsid w:val="00B634A1"/>
    <w:rsid w:val="00B634C2"/>
    <w:rsid w:val="00B6359F"/>
    <w:rsid w:val="00B63766"/>
    <w:rsid w:val="00B63D5C"/>
    <w:rsid w:val="00B63D8D"/>
    <w:rsid w:val="00B63E06"/>
    <w:rsid w:val="00B640A5"/>
    <w:rsid w:val="00B6410F"/>
    <w:rsid w:val="00B64345"/>
    <w:rsid w:val="00B643D0"/>
    <w:rsid w:val="00B64487"/>
    <w:rsid w:val="00B646AD"/>
    <w:rsid w:val="00B646D9"/>
    <w:rsid w:val="00B64863"/>
    <w:rsid w:val="00B64A15"/>
    <w:rsid w:val="00B64A6D"/>
    <w:rsid w:val="00B64AD1"/>
    <w:rsid w:val="00B64CC9"/>
    <w:rsid w:val="00B653E0"/>
    <w:rsid w:val="00B653E3"/>
    <w:rsid w:val="00B6568E"/>
    <w:rsid w:val="00B656EA"/>
    <w:rsid w:val="00B65981"/>
    <w:rsid w:val="00B659EF"/>
    <w:rsid w:val="00B65A24"/>
    <w:rsid w:val="00B65B54"/>
    <w:rsid w:val="00B65B7D"/>
    <w:rsid w:val="00B65C38"/>
    <w:rsid w:val="00B65CC6"/>
    <w:rsid w:val="00B65D06"/>
    <w:rsid w:val="00B65D86"/>
    <w:rsid w:val="00B65EAC"/>
    <w:rsid w:val="00B66090"/>
    <w:rsid w:val="00B666CB"/>
    <w:rsid w:val="00B6670C"/>
    <w:rsid w:val="00B66900"/>
    <w:rsid w:val="00B6691B"/>
    <w:rsid w:val="00B669BC"/>
    <w:rsid w:val="00B66A30"/>
    <w:rsid w:val="00B66BAF"/>
    <w:rsid w:val="00B66C94"/>
    <w:rsid w:val="00B66DC7"/>
    <w:rsid w:val="00B67273"/>
    <w:rsid w:val="00B67475"/>
    <w:rsid w:val="00B67608"/>
    <w:rsid w:val="00B67616"/>
    <w:rsid w:val="00B676DC"/>
    <w:rsid w:val="00B6790A"/>
    <w:rsid w:val="00B679AB"/>
    <w:rsid w:val="00B67B4D"/>
    <w:rsid w:val="00B67D77"/>
    <w:rsid w:val="00B67E84"/>
    <w:rsid w:val="00B70186"/>
    <w:rsid w:val="00B701AE"/>
    <w:rsid w:val="00B70286"/>
    <w:rsid w:val="00B703D2"/>
    <w:rsid w:val="00B7054A"/>
    <w:rsid w:val="00B7083A"/>
    <w:rsid w:val="00B70A14"/>
    <w:rsid w:val="00B70A6E"/>
    <w:rsid w:val="00B70CE5"/>
    <w:rsid w:val="00B70D5F"/>
    <w:rsid w:val="00B70EBB"/>
    <w:rsid w:val="00B70F5A"/>
    <w:rsid w:val="00B70FCC"/>
    <w:rsid w:val="00B71096"/>
    <w:rsid w:val="00B71108"/>
    <w:rsid w:val="00B7143A"/>
    <w:rsid w:val="00B714DD"/>
    <w:rsid w:val="00B71634"/>
    <w:rsid w:val="00B718E0"/>
    <w:rsid w:val="00B71906"/>
    <w:rsid w:val="00B71915"/>
    <w:rsid w:val="00B7193F"/>
    <w:rsid w:val="00B71B1D"/>
    <w:rsid w:val="00B71B29"/>
    <w:rsid w:val="00B71C7A"/>
    <w:rsid w:val="00B72072"/>
    <w:rsid w:val="00B7222A"/>
    <w:rsid w:val="00B7232B"/>
    <w:rsid w:val="00B72535"/>
    <w:rsid w:val="00B729BD"/>
    <w:rsid w:val="00B72D63"/>
    <w:rsid w:val="00B7319E"/>
    <w:rsid w:val="00B7323E"/>
    <w:rsid w:val="00B7329F"/>
    <w:rsid w:val="00B7354A"/>
    <w:rsid w:val="00B73844"/>
    <w:rsid w:val="00B73C99"/>
    <w:rsid w:val="00B73D6F"/>
    <w:rsid w:val="00B73D86"/>
    <w:rsid w:val="00B74017"/>
    <w:rsid w:val="00B74177"/>
    <w:rsid w:val="00B74192"/>
    <w:rsid w:val="00B745F3"/>
    <w:rsid w:val="00B7464A"/>
    <w:rsid w:val="00B74713"/>
    <w:rsid w:val="00B747CD"/>
    <w:rsid w:val="00B749D3"/>
    <w:rsid w:val="00B74A3C"/>
    <w:rsid w:val="00B74ACA"/>
    <w:rsid w:val="00B74B66"/>
    <w:rsid w:val="00B74C4F"/>
    <w:rsid w:val="00B74EC9"/>
    <w:rsid w:val="00B74EE3"/>
    <w:rsid w:val="00B750D2"/>
    <w:rsid w:val="00B7521E"/>
    <w:rsid w:val="00B752D1"/>
    <w:rsid w:val="00B75323"/>
    <w:rsid w:val="00B75831"/>
    <w:rsid w:val="00B75B1E"/>
    <w:rsid w:val="00B75FAB"/>
    <w:rsid w:val="00B760BB"/>
    <w:rsid w:val="00B76329"/>
    <w:rsid w:val="00B76565"/>
    <w:rsid w:val="00B76889"/>
    <w:rsid w:val="00B76D81"/>
    <w:rsid w:val="00B76E12"/>
    <w:rsid w:val="00B772C3"/>
    <w:rsid w:val="00B773B6"/>
    <w:rsid w:val="00B77420"/>
    <w:rsid w:val="00B7773E"/>
    <w:rsid w:val="00B77A6C"/>
    <w:rsid w:val="00B77A9F"/>
    <w:rsid w:val="00B77AD2"/>
    <w:rsid w:val="00B77B2C"/>
    <w:rsid w:val="00B77BBF"/>
    <w:rsid w:val="00B77FF9"/>
    <w:rsid w:val="00B802A8"/>
    <w:rsid w:val="00B805B9"/>
    <w:rsid w:val="00B807F7"/>
    <w:rsid w:val="00B80833"/>
    <w:rsid w:val="00B808A8"/>
    <w:rsid w:val="00B80BDE"/>
    <w:rsid w:val="00B8101C"/>
    <w:rsid w:val="00B810A7"/>
    <w:rsid w:val="00B81298"/>
    <w:rsid w:val="00B812D2"/>
    <w:rsid w:val="00B8130D"/>
    <w:rsid w:val="00B814F1"/>
    <w:rsid w:val="00B817DB"/>
    <w:rsid w:val="00B81B2A"/>
    <w:rsid w:val="00B81D5B"/>
    <w:rsid w:val="00B81EE8"/>
    <w:rsid w:val="00B81F4D"/>
    <w:rsid w:val="00B820D3"/>
    <w:rsid w:val="00B820E1"/>
    <w:rsid w:val="00B82149"/>
    <w:rsid w:val="00B8220A"/>
    <w:rsid w:val="00B8238C"/>
    <w:rsid w:val="00B823A7"/>
    <w:rsid w:val="00B8248F"/>
    <w:rsid w:val="00B825B3"/>
    <w:rsid w:val="00B82BFB"/>
    <w:rsid w:val="00B830D3"/>
    <w:rsid w:val="00B8329F"/>
    <w:rsid w:val="00B833DC"/>
    <w:rsid w:val="00B83753"/>
    <w:rsid w:val="00B837B0"/>
    <w:rsid w:val="00B83804"/>
    <w:rsid w:val="00B83815"/>
    <w:rsid w:val="00B845E5"/>
    <w:rsid w:val="00B84A6A"/>
    <w:rsid w:val="00B84A99"/>
    <w:rsid w:val="00B84B0B"/>
    <w:rsid w:val="00B84ECF"/>
    <w:rsid w:val="00B8504F"/>
    <w:rsid w:val="00B850D7"/>
    <w:rsid w:val="00B85113"/>
    <w:rsid w:val="00B851BD"/>
    <w:rsid w:val="00B852EE"/>
    <w:rsid w:val="00B853A7"/>
    <w:rsid w:val="00B85516"/>
    <w:rsid w:val="00B856A0"/>
    <w:rsid w:val="00B856E4"/>
    <w:rsid w:val="00B85F48"/>
    <w:rsid w:val="00B860AD"/>
    <w:rsid w:val="00B8641D"/>
    <w:rsid w:val="00B864D4"/>
    <w:rsid w:val="00B86725"/>
    <w:rsid w:val="00B867FE"/>
    <w:rsid w:val="00B86A06"/>
    <w:rsid w:val="00B86AAA"/>
    <w:rsid w:val="00B86B27"/>
    <w:rsid w:val="00B86B98"/>
    <w:rsid w:val="00B86D28"/>
    <w:rsid w:val="00B86D5B"/>
    <w:rsid w:val="00B86E33"/>
    <w:rsid w:val="00B86F31"/>
    <w:rsid w:val="00B87167"/>
    <w:rsid w:val="00B87739"/>
    <w:rsid w:val="00B877F9"/>
    <w:rsid w:val="00B8797D"/>
    <w:rsid w:val="00B87D01"/>
    <w:rsid w:val="00B87E64"/>
    <w:rsid w:val="00B90147"/>
    <w:rsid w:val="00B901C6"/>
    <w:rsid w:val="00B9025F"/>
    <w:rsid w:val="00B903F1"/>
    <w:rsid w:val="00B90602"/>
    <w:rsid w:val="00B906DA"/>
    <w:rsid w:val="00B907A3"/>
    <w:rsid w:val="00B9080E"/>
    <w:rsid w:val="00B908CB"/>
    <w:rsid w:val="00B90959"/>
    <w:rsid w:val="00B9098E"/>
    <w:rsid w:val="00B90E28"/>
    <w:rsid w:val="00B90FD8"/>
    <w:rsid w:val="00B91042"/>
    <w:rsid w:val="00B910CE"/>
    <w:rsid w:val="00B912C2"/>
    <w:rsid w:val="00B912ED"/>
    <w:rsid w:val="00B9152E"/>
    <w:rsid w:val="00B91587"/>
    <w:rsid w:val="00B91609"/>
    <w:rsid w:val="00B91980"/>
    <w:rsid w:val="00B91BC2"/>
    <w:rsid w:val="00B91C78"/>
    <w:rsid w:val="00B91D9D"/>
    <w:rsid w:val="00B91EDF"/>
    <w:rsid w:val="00B91FF8"/>
    <w:rsid w:val="00B9202C"/>
    <w:rsid w:val="00B92248"/>
    <w:rsid w:val="00B924D1"/>
    <w:rsid w:val="00B92675"/>
    <w:rsid w:val="00B927C5"/>
    <w:rsid w:val="00B929E3"/>
    <w:rsid w:val="00B92A1C"/>
    <w:rsid w:val="00B92DC4"/>
    <w:rsid w:val="00B92F59"/>
    <w:rsid w:val="00B93010"/>
    <w:rsid w:val="00B9387A"/>
    <w:rsid w:val="00B938AA"/>
    <w:rsid w:val="00B93B58"/>
    <w:rsid w:val="00B93C64"/>
    <w:rsid w:val="00B93DC3"/>
    <w:rsid w:val="00B94270"/>
    <w:rsid w:val="00B94292"/>
    <w:rsid w:val="00B9436A"/>
    <w:rsid w:val="00B944B6"/>
    <w:rsid w:val="00B94501"/>
    <w:rsid w:val="00B94A63"/>
    <w:rsid w:val="00B94AB4"/>
    <w:rsid w:val="00B94B8B"/>
    <w:rsid w:val="00B94C87"/>
    <w:rsid w:val="00B94E28"/>
    <w:rsid w:val="00B94E4C"/>
    <w:rsid w:val="00B95001"/>
    <w:rsid w:val="00B95115"/>
    <w:rsid w:val="00B954F0"/>
    <w:rsid w:val="00B95685"/>
    <w:rsid w:val="00B9575C"/>
    <w:rsid w:val="00B957B6"/>
    <w:rsid w:val="00B95839"/>
    <w:rsid w:val="00B95CF8"/>
    <w:rsid w:val="00B95DA6"/>
    <w:rsid w:val="00B95DC6"/>
    <w:rsid w:val="00B960A0"/>
    <w:rsid w:val="00B961B0"/>
    <w:rsid w:val="00B96641"/>
    <w:rsid w:val="00B966A4"/>
    <w:rsid w:val="00B966A6"/>
    <w:rsid w:val="00B967C4"/>
    <w:rsid w:val="00B96B41"/>
    <w:rsid w:val="00B96D76"/>
    <w:rsid w:val="00B96D96"/>
    <w:rsid w:val="00B96E9B"/>
    <w:rsid w:val="00B96EAC"/>
    <w:rsid w:val="00B96F97"/>
    <w:rsid w:val="00B97006"/>
    <w:rsid w:val="00B971BC"/>
    <w:rsid w:val="00B972A9"/>
    <w:rsid w:val="00B97412"/>
    <w:rsid w:val="00B9769E"/>
    <w:rsid w:val="00B97736"/>
    <w:rsid w:val="00B9799C"/>
    <w:rsid w:val="00B979BA"/>
    <w:rsid w:val="00B97C3D"/>
    <w:rsid w:val="00B97E6F"/>
    <w:rsid w:val="00B97FF5"/>
    <w:rsid w:val="00BA004A"/>
    <w:rsid w:val="00BA012B"/>
    <w:rsid w:val="00BA0147"/>
    <w:rsid w:val="00BA04C6"/>
    <w:rsid w:val="00BA066F"/>
    <w:rsid w:val="00BA078A"/>
    <w:rsid w:val="00BA0928"/>
    <w:rsid w:val="00BA0A71"/>
    <w:rsid w:val="00BA0A84"/>
    <w:rsid w:val="00BA0C0F"/>
    <w:rsid w:val="00BA0C35"/>
    <w:rsid w:val="00BA0E6C"/>
    <w:rsid w:val="00BA1075"/>
    <w:rsid w:val="00BA15A1"/>
    <w:rsid w:val="00BA15C5"/>
    <w:rsid w:val="00BA16F4"/>
    <w:rsid w:val="00BA16FD"/>
    <w:rsid w:val="00BA1DD8"/>
    <w:rsid w:val="00BA1FC7"/>
    <w:rsid w:val="00BA20B1"/>
    <w:rsid w:val="00BA2177"/>
    <w:rsid w:val="00BA2180"/>
    <w:rsid w:val="00BA224A"/>
    <w:rsid w:val="00BA26B9"/>
    <w:rsid w:val="00BA2A46"/>
    <w:rsid w:val="00BA2B43"/>
    <w:rsid w:val="00BA2C95"/>
    <w:rsid w:val="00BA2DDE"/>
    <w:rsid w:val="00BA2E4C"/>
    <w:rsid w:val="00BA2F0F"/>
    <w:rsid w:val="00BA301F"/>
    <w:rsid w:val="00BA3086"/>
    <w:rsid w:val="00BA3392"/>
    <w:rsid w:val="00BA351D"/>
    <w:rsid w:val="00BA3565"/>
    <w:rsid w:val="00BA35B3"/>
    <w:rsid w:val="00BA3661"/>
    <w:rsid w:val="00BA388C"/>
    <w:rsid w:val="00BA3AB9"/>
    <w:rsid w:val="00BA3BD7"/>
    <w:rsid w:val="00BA3CA0"/>
    <w:rsid w:val="00BA3D5D"/>
    <w:rsid w:val="00BA3DAC"/>
    <w:rsid w:val="00BA3E17"/>
    <w:rsid w:val="00BA3F60"/>
    <w:rsid w:val="00BA4259"/>
    <w:rsid w:val="00BA4467"/>
    <w:rsid w:val="00BA452F"/>
    <w:rsid w:val="00BA467D"/>
    <w:rsid w:val="00BA467E"/>
    <w:rsid w:val="00BA472A"/>
    <w:rsid w:val="00BA4759"/>
    <w:rsid w:val="00BA4827"/>
    <w:rsid w:val="00BA4CAC"/>
    <w:rsid w:val="00BA4D64"/>
    <w:rsid w:val="00BA5158"/>
    <w:rsid w:val="00BA53A3"/>
    <w:rsid w:val="00BA54F0"/>
    <w:rsid w:val="00BA561C"/>
    <w:rsid w:val="00BA5622"/>
    <w:rsid w:val="00BA580F"/>
    <w:rsid w:val="00BA583E"/>
    <w:rsid w:val="00BA5A76"/>
    <w:rsid w:val="00BA5DC3"/>
    <w:rsid w:val="00BA5F7B"/>
    <w:rsid w:val="00BA622A"/>
    <w:rsid w:val="00BA6352"/>
    <w:rsid w:val="00BA6828"/>
    <w:rsid w:val="00BA721C"/>
    <w:rsid w:val="00BA7428"/>
    <w:rsid w:val="00BA76CB"/>
    <w:rsid w:val="00BA7AF2"/>
    <w:rsid w:val="00BA7B82"/>
    <w:rsid w:val="00BA7BBF"/>
    <w:rsid w:val="00BA7CA5"/>
    <w:rsid w:val="00BA7D5F"/>
    <w:rsid w:val="00BA7D79"/>
    <w:rsid w:val="00BA7E59"/>
    <w:rsid w:val="00BA7EAA"/>
    <w:rsid w:val="00BA7F31"/>
    <w:rsid w:val="00BA7FAC"/>
    <w:rsid w:val="00BB0007"/>
    <w:rsid w:val="00BB0180"/>
    <w:rsid w:val="00BB01A9"/>
    <w:rsid w:val="00BB02C6"/>
    <w:rsid w:val="00BB05D9"/>
    <w:rsid w:val="00BB0608"/>
    <w:rsid w:val="00BB073C"/>
    <w:rsid w:val="00BB0A6A"/>
    <w:rsid w:val="00BB0D1E"/>
    <w:rsid w:val="00BB0D9B"/>
    <w:rsid w:val="00BB1067"/>
    <w:rsid w:val="00BB14F1"/>
    <w:rsid w:val="00BB1545"/>
    <w:rsid w:val="00BB15AA"/>
    <w:rsid w:val="00BB1659"/>
    <w:rsid w:val="00BB1ACE"/>
    <w:rsid w:val="00BB1CA5"/>
    <w:rsid w:val="00BB238C"/>
    <w:rsid w:val="00BB24F6"/>
    <w:rsid w:val="00BB25DE"/>
    <w:rsid w:val="00BB2608"/>
    <w:rsid w:val="00BB28CC"/>
    <w:rsid w:val="00BB2B4D"/>
    <w:rsid w:val="00BB2D67"/>
    <w:rsid w:val="00BB2F22"/>
    <w:rsid w:val="00BB2F5C"/>
    <w:rsid w:val="00BB2F8E"/>
    <w:rsid w:val="00BB2FDD"/>
    <w:rsid w:val="00BB3286"/>
    <w:rsid w:val="00BB336C"/>
    <w:rsid w:val="00BB3487"/>
    <w:rsid w:val="00BB3503"/>
    <w:rsid w:val="00BB35DA"/>
    <w:rsid w:val="00BB39F3"/>
    <w:rsid w:val="00BB39F4"/>
    <w:rsid w:val="00BB3A28"/>
    <w:rsid w:val="00BB3A53"/>
    <w:rsid w:val="00BB3B0B"/>
    <w:rsid w:val="00BB3E87"/>
    <w:rsid w:val="00BB4003"/>
    <w:rsid w:val="00BB444C"/>
    <w:rsid w:val="00BB445C"/>
    <w:rsid w:val="00BB4470"/>
    <w:rsid w:val="00BB4A0A"/>
    <w:rsid w:val="00BB5023"/>
    <w:rsid w:val="00BB50A1"/>
    <w:rsid w:val="00BB5131"/>
    <w:rsid w:val="00BB51D5"/>
    <w:rsid w:val="00BB5358"/>
    <w:rsid w:val="00BB5612"/>
    <w:rsid w:val="00BB567B"/>
    <w:rsid w:val="00BB5905"/>
    <w:rsid w:val="00BB5CAF"/>
    <w:rsid w:val="00BB5D6A"/>
    <w:rsid w:val="00BB5EEB"/>
    <w:rsid w:val="00BB5F6F"/>
    <w:rsid w:val="00BB612D"/>
    <w:rsid w:val="00BB64C3"/>
    <w:rsid w:val="00BB671C"/>
    <w:rsid w:val="00BB67A6"/>
    <w:rsid w:val="00BB6920"/>
    <w:rsid w:val="00BB6BB3"/>
    <w:rsid w:val="00BB6DF1"/>
    <w:rsid w:val="00BB72FA"/>
    <w:rsid w:val="00BB7305"/>
    <w:rsid w:val="00BB735F"/>
    <w:rsid w:val="00BB7B56"/>
    <w:rsid w:val="00BB7BAE"/>
    <w:rsid w:val="00BB7C02"/>
    <w:rsid w:val="00BB7C8C"/>
    <w:rsid w:val="00BB7C9A"/>
    <w:rsid w:val="00BB7E86"/>
    <w:rsid w:val="00BC0000"/>
    <w:rsid w:val="00BC0344"/>
    <w:rsid w:val="00BC0651"/>
    <w:rsid w:val="00BC0831"/>
    <w:rsid w:val="00BC095B"/>
    <w:rsid w:val="00BC09F8"/>
    <w:rsid w:val="00BC0BC3"/>
    <w:rsid w:val="00BC0C82"/>
    <w:rsid w:val="00BC0D49"/>
    <w:rsid w:val="00BC0E85"/>
    <w:rsid w:val="00BC10E4"/>
    <w:rsid w:val="00BC1342"/>
    <w:rsid w:val="00BC13C4"/>
    <w:rsid w:val="00BC1807"/>
    <w:rsid w:val="00BC18CA"/>
    <w:rsid w:val="00BC1B1B"/>
    <w:rsid w:val="00BC1B66"/>
    <w:rsid w:val="00BC1B86"/>
    <w:rsid w:val="00BC24E0"/>
    <w:rsid w:val="00BC25AC"/>
    <w:rsid w:val="00BC268B"/>
    <w:rsid w:val="00BC2788"/>
    <w:rsid w:val="00BC2BB0"/>
    <w:rsid w:val="00BC2C45"/>
    <w:rsid w:val="00BC324A"/>
    <w:rsid w:val="00BC367A"/>
    <w:rsid w:val="00BC36CA"/>
    <w:rsid w:val="00BC3AEB"/>
    <w:rsid w:val="00BC3BB9"/>
    <w:rsid w:val="00BC3C47"/>
    <w:rsid w:val="00BC3D7C"/>
    <w:rsid w:val="00BC3ECD"/>
    <w:rsid w:val="00BC3F26"/>
    <w:rsid w:val="00BC3FE4"/>
    <w:rsid w:val="00BC4185"/>
    <w:rsid w:val="00BC458F"/>
    <w:rsid w:val="00BC4763"/>
    <w:rsid w:val="00BC4CE2"/>
    <w:rsid w:val="00BC4E41"/>
    <w:rsid w:val="00BC4FD3"/>
    <w:rsid w:val="00BC5113"/>
    <w:rsid w:val="00BC511F"/>
    <w:rsid w:val="00BC5276"/>
    <w:rsid w:val="00BC57CD"/>
    <w:rsid w:val="00BC5888"/>
    <w:rsid w:val="00BC58DB"/>
    <w:rsid w:val="00BC5A0F"/>
    <w:rsid w:val="00BC5A85"/>
    <w:rsid w:val="00BC5ACC"/>
    <w:rsid w:val="00BC5B07"/>
    <w:rsid w:val="00BC5C32"/>
    <w:rsid w:val="00BC6097"/>
    <w:rsid w:val="00BC6334"/>
    <w:rsid w:val="00BC6570"/>
    <w:rsid w:val="00BC6641"/>
    <w:rsid w:val="00BC6741"/>
    <w:rsid w:val="00BC7007"/>
    <w:rsid w:val="00BC77A6"/>
    <w:rsid w:val="00BC77B5"/>
    <w:rsid w:val="00BC7C3B"/>
    <w:rsid w:val="00BC7D03"/>
    <w:rsid w:val="00BC7E29"/>
    <w:rsid w:val="00BC7E6B"/>
    <w:rsid w:val="00BC7EE6"/>
    <w:rsid w:val="00BD00EE"/>
    <w:rsid w:val="00BD0254"/>
    <w:rsid w:val="00BD04A8"/>
    <w:rsid w:val="00BD05B7"/>
    <w:rsid w:val="00BD05F2"/>
    <w:rsid w:val="00BD065B"/>
    <w:rsid w:val="00BD0693"/>
    <w:rsid w:val="00BD06B6"/>
    <w:rsid w:val="00BD0780"/>
    <w:rsid w:val="00BD07CD"/>
    <w:rsid w:val="00BD082B"/>
    <w:rsid w:val="00BD086F"/>
    <w:rsid w:val="00BD0AF6"/>
    <w:rsid w:val="00BD0BF8"/>
    <w:rsid w:val="00BD0E00"/>
    <w:rsid w:val="00BD0F8A"/>
    <w:rsid w:val="00BD13C5"/>
    <w:rsid w:val="00BD177F"/>
    <w:rsid w:val="00BD17F4"/>
    <w:rsid w:val="00BD1894"/>
    <w:rsid w:val="00BD1CA8"/>
    <w:rsid w:val="00BD1CAE"/>
    <w:rsid w:val="00BD1DB7"/>
    <w:rsid w:val="00BD1F04"/>
    <w:rsid w:val="00BD1F0B"/>
    <w:rsid w:val="00BD1F5B"/>
    <w:rsid w:val="00BD1FA0"/>
    <w:rsid w:val="00BD21BA"/>
    <w:rsid w:val="00BD220F"/>
    <w:rsid w:val="00BD22CB"/>
    <w:rsid w:val="00BD2579"/>
    <w:rsid w:val="00BD27CD"/>
    <w:rsid w:val="00BD2A59"/>
    <w:rsid w:val="00BD2B4E"/>
    <w:rsid w:val="00BD2C0F"/>
    <w:rsid w:val="00BD2D28"/>
    <w:rsid w:val="00BD2DE3"/>
    <w:rsid w:val="00BD2E19"/>
    <w:rsid w:val="00BD2EE7"/>
    <w:rsid w:val="00BD302C"/>
    <w:rsid w:val="00BD3044"/>
    <w:rsid w:val="00BD3102"/>
    <w:rsid w:val="00BD31FA"/>
    <w:rsid w:val="00BD3297"/>
    <w:rsid w:val="00BD35A0"/>
    <w:rsid w:val="00BD365E"/>
    <w:rsid w:val="00BD3A1A"/>
    <w:rsid w:val="00BD3C3C"/>
    <w:rsid w:val="00BD3DEF"/>
    <w:rsid w:val="00BD3E24"/>
    <w:rsid w:val="00BD4494"/>
    <w:rsid w:val="00BD454D"/>
    <w:rsid w:val="00BD45AE"/>
    <w:rsid w:val="00BD47A5"/>
    <w:rsid w:val="00BD4999"/>
    <w:rsid w:val="00BD4E5E"/>
    <w:rsid w:val="00BD4F5B"/>
    <w:rsid w:val="00BD4FF2"/>
    <w:rsid w:val="00BD50B2"/>
    <w:rsid w:val="00BD52A5"/>
    <w:rsid w:val="00BD5337"/>
    <w:rsid w:val="00BD54BF"/>
    <w:rsid w:val="00BD5738"/>
    <w:rsid w:val="00BD5749"/>
    <w:rsid w:val="00BD5AE9"/>
    <w:rsid w:val="00BD5F3E"/>
    <w:rsid w:val="00BD5F50"/>
    <w:rsid w:val="00BD6018"/>
    <w:rsid w:val="00BD615A"/>
    <w:rsid w:val="00BD63D3"/>
    <w:rsid w:val="00BD6574"/>
    <w:rsid w:val="00BD65A2"/>
    <w:rsid w:val="00BD6D49"/>
    <w:rsid w:val="00BD6D76"/>
    <w:rsid w:val="00BD6ECF"/>
    <w:rsid w:val="00BD6F56"/>
    <w:rsid w:val="00BD7109"/>
    <w:rsid w:val="00BD7310"/>
    <w:rsid w:val="00BD743B"/>
    <w:rsid w:val="00BD7440"/>
    <w:rsid w:val="00BD7663"/>
    <w:rsid w:val="00BD76AF"/>
    <w:rsid w:val="00BD76C2"/>
    <w:rsid w:val="00BD7962"/>
    <w:rsid w:val="00BD7A95"/>
    <w:rsid w:val="00BE0391"/>
    <w:rsid w:val="00BE056F"/>
    <w:rsid w:val="00BE077F"/>
    <w:rsid w:val="00BE0A38"/>
    <w:rsid w:val="00BE0BEB"/>
    <w:rsid w:val="00BE0BFB"/>
    <w:rsid w:val="00BE0DD8"/>
    <w:rsid w:val="00BE1472"/>
    <w:rsid w:val="00BE1652"/>
    <w:rsid w:val="00BE1686"/>
    <w:rsid w:val="00BE1879"/>
    <w:rsid w:val="00BE19B7"/>
    <w:rsid w:val="00BE1B6A"/>
    <w:rsid w:val="00BE1BC3"/>
    <w:rsid w:val="00BE1BCE"/>
    <w:rsid w:val="00BE1D1C"/>
    <w:rsid w:val="00BE1F09"/>
    <w:rsid w:val="00BE237B"/>
    <w:rsid w:val="00BE238C"/>
    <w:rsid w:val="00BE24B4"/>
    <w:rsid w:val="00BE25D9"/>
    <w:rsid w:val="00BE27A1"/>
    <w:rsid w:val="00BE2AA2"/>
    <w:rsid w:val="00BE2B45"/>
    <w:rsid w:val="00BE2D83"/>
    <w:rsid w:val="00BE2DEF"/>
    <w:rsid w:val="00BE2F59"/>
    <w:rsid w:val="00BE2F75"/>
    <w:rsid w:val="00BE3087"/>
    <w:rsid w:val="00BE3265"/>
    <w:rsid w:val="00BE32F1"/>
    <w:rsid w:val="00BE3695"/>
    <w:rsid w:val="00BE3A21"/>
    <w:rsid w:val="00BE3A4E"/>
    <w:rsid w:val="00BE3F73"/>
    <w:rsid w:val="00BE3FC4"/>
    <w:rsid w:val="00BE4035"/>
    <w:rsid w:val="00BE473D"/>
    <w:rsid w:val="00BE4837"/>
    <w:rsid w:val="00BE4945"/>
    <w:rsid w:val="00BE498A"/>
    <w:rsid w:val="00BE4D00"/>
    <w:rsid w:val="00BE4DAE"/>
    <w:rsid w:val="00BE4DD4"/>
    <w:rsid w:val="00BE50D7"/>
    <w:rsid w:val="00BE530C"/>
    <w:rsid w:val="00BE53F0"/>
    <w:rsid w:val="00BE55EB"/>
    <w:rsid w:val="00BE5684"/>
    <w:rsid w:val="00BE57B9"/>
    <w:rsid w:val="00BE5A38"/>
    <w:rsid w:val="00BE5D4C"/>
    <w:rsid w:val="00BE5FAE"/>
    <w:rsid w:val="00BE5FC4"/>
    <w:rsid w:val="00BE6481"/>
    <w:rsid w:val="00BE64FD"/>
    <w:rsid w:val="00BE6509"/>
    <w:rsid w:val="00BE6572"/>
    <w:rsid w:val="00BE6B80"/>
    <w:rsid w:val="00BE6E27"/>
    <w:rsid w:val="00BE6FFE"/>
    <w:rsid w:val="00BE7004"/>
    <w:rsid w:val="00BE7255"/>
    <w:rsid w:val="00BE797C"/>
    <w:rsid w:val="00BE7A1D"/>
    <w:rsid w:val="00BE7AC5"/>
    <w:rsid w:val="00BE7B88"/>
    <w:rsid w:val="00BE7C9E"/>
    <w:rsid w:val="00BE7D61"/>
    <w:rsid w:val="00BE7D6C"/>
    <w:rsid w:val="00BE7E14"/>
    <w:rsid w:val="00BE7EB3"/>
    <w:rsid w:val="00BE7F61"/>
    <w:rsid w:val="00BF0132"/>
    <w:rsid w:val="00BF02CA"/>
    <w:rsid w:val="00BF03C2"/>
    <w:rsid w:val="00BF03D7"/>
    <w:rsid w:val="00BF059D"/>
    <w:rsid w:val="00BF06D0"/>
    <w:rsid w:val="00BF086D"/>
    <w:rsid w:val="00BF08F2"/>
    <w:rsid w:val="00BF0D76"/>
    <w:rsid w:val="00BF0E71"/>
    <w:rsid w:val="00BF10E1"/>
    <w:rsid w:val="00BF1113"/>
    <w:rsid w:val="00BF129E"/>
    <w:rsid w:val="00BF1311"/>
    <w:rsid w:val="00BF14A0"/>
    <w:rsid w:val="00BF17C2"/>
    <w:rsid w:val="00BF1A14"/>
    <w:rsid w:val="00BF1A36"/>
    <w:rsid w:val="00BF1B01"/>
    <w:rsid w:val="00BF1B86"/>
    <w:rsid w:val="00BF1B88"/>
    <w:rsid w:val="00BF1CD1"/>
    <w:rsid w:val="00BF1EC4"/>
    <w:rsid w:val="00BF24B6"/>
    <w:rsid w:val="00BF25C6"/>
    <w:rsid w:val="00BF2758"/>
    <w:rsid w:val="00BF279B"/>
    <w:rsid w:val="00BF2909"/>
    <w:rsid w:val="00BF2A27"/>
    <w:rsid w:val="00BF2DC9"/>
    <w:rsid w:val="00BF2E4E"/>
    <w:rsid w:val="00BF31A7"/>
    <w:rsid w:val="00BF336E"/>
    <w:rsid w:val="00BF345F"/>
    <w:rsid w:val="00BF3748"/>
    <w:rsid w:val="00BF377B"/>
    <w:rsid w:val="00BF3CEE"/>
    <w:rsid w:val="00BF3F4D"/>
    <w:rsid w:val="00BF3FB6"/>
    <w:rsid w:val="00BF4101"/>
    <w:rsid w:val="00BF4173"/>
    <w:rsid w:val="00BF4272"/>
    <w:rsid w:val="00BF42DB"/>
    <w:rsid w:val="00BF4586"/>
    <w:rsid w:val="00BF4719"/>
    <w:rsid w:val="00BF49E6"/>
    <w:rsid w:val="00BF4C4F"/>
    <w:rsid w:val="00BF4E98"/>
    <w:rsid w:val="00BF512D"/>
    <w:rsid w:val="00BF528C"/>
    <w:rsid w:val="00BF53B4"/>
    <w:rsid w:val="00BF55B8"/>
    <w:rsid w:val="00BF563E"/>
    <w:rsid w:val="00BF5685"/>
    <w:rsid w:val="00BF5A11"/>
    <w:rsid w:val="00BF5A2B"/>
    <w:rsid w:val="00BF5A94"/>
    <w:rsid w:val="00BF5AB6"/>
    <w:rsid w:val="00BF5C8B"/>
    <w:rsid w:val="00BF5CCA"/>
    <w:rsid w:val="00BF5F1D"/>
    <w:rsid w:val="00BF611E"/>
    <w:rsid w:val="00BF65BE"/>
    <w:rsid w:val="00BF6F6A"/>
    <w:rsid w:val="00BF7458"/>
    <w:rsid w:val="00BF76CC"/>
    <w:rsid w:val="00BF7AC6"/>
    <w:rsid w:val="00BF7B47"/>
    <w:rsid w:val="00BF7BA6"/>
    <w:rsid w:val="00BF7BEA"/>
    <w:rsid w:val="00BF7C60"/>
    <w:rsid w:val="00BF7E70"/>
    <w:rsid w:val="00C0024E"/>
    <w:rsid w:val="00C00567"/>
    <w:rsid w:val="00C006B0"/>
    <w:rsid w:val="00C006CC"/>
    <w:rsid w:val="00C00864"/>
    <w:rsid w:val="00C00A6E"/>
    <w:rsid w:val="00C00C8F"/>
    <w:rsid w:val="00C00DFD"/>
    <w:rsid w:val="00C00E18"/>
    <w:rsid w:val="00C011D6"/>
    <w:rsid w:val="00C0124A"/>
    <w:rsid w:val="00C0167B"/>
    <w:rsid w:val="00C01696"/>
    <w:rsid w:val="00C01944"/>
    <w:rsid w:val="00C01C4B"/>
    <w:rsid w:val="00C01D19"/>
    <w:rsid w:val="00C01ED7"/>
    <w:rsid w:val="00C01F59"/>
    <w:rsid w:val="00C02109"/>
    <w:rsid w:val="00C0215F"/>
    <w:rsid w:val="00C022F3"/>
    <w:rsid w:val="00C0263C"/>
    <w:rsid w:val="00C027C9"/>
    <w:rsid w:val="00C02811"/>
    <w:rsid w:val="00C0283E"/>
    <w:rsid w:val="00C02879"/>
    <w:rsid w:val="00C02EE2"/>
    <w:rsid w:val="00C02F3F"/>
    <w:rsid w:val="00C03085"/>
    <w:rsid w:val="00C030B5"/>
    <w:rsid w:val="00C030D2"/>
    <w:rsid w:val="00C0311C"/>
    <w:rsid w:val="00C031DB"/>
    <w:rsid w:val="00C0320F"/>
    <w:rsid w:val="00C03337"/>
    <w:rsid w:val="00C0370B"/>
    <w:rsid w:val="00C03981"/>
    <w:rsid w:val="00C03A4E"/>
    <w:rsid w:val="00C03A8A"/>
    <w:rsid w:val="00C03EC1"/>
    <w:rsid w:val="00C03F5F"/>
    <w:rsid w:val="00C03FC8"/>
    <w:rsid w:val="00C03FF7"/>
    <w:rsid w:val="00C04031"/>
    <w:rsid w:val="00C04235"/>
    <w:rsid w:val="00C04410"/>
    <w:rsid w:val="00C046D8"/>
    <w:rsid w:val="00C047AE"/>
    <w:rsid w:val="00C0487A"/>
    <w:rsid w:val="00C049F8"/>
    <w:rsid w:val="00C04C0C"/>
    <w:rsid w:val="00C04C52"/>
    <w:rsid w:val="00C04DF4"/>
    <w:rsid w:val="00C05008"/>
    <w:rsid w:val="00C05120"/>
    <w:rsid w:val="00C051C2"/>
    <w:rsid w:val="00C05385"/>
    <w:rsid w:val="00C053BB"/>
    <w:rsid w:val="00C05444"/>
    <w:rsid w:val="00C057FB"/>
    <w:rsid w:val="00C05C00"/>
    <w:rsid w:val="00C05D35"/>
    <w:rsid w:val="00C05D7E"/>
    <w:rsid w:val="00C05F09"/>
    <w:rsid w:val="00C061A8"/>
    <w:rsid w:val="00C061AA"/>
    <w:rsid w:val="00C0626A"/>
    <w:rsid w:val="00C06359"/>
    <w:rsid w:val="00C064AB"/>
    <w:rsid w:val="00C065A5"/>
    <w:rsid w:val="00C06633"/>
    <w:rsid w:val="00C069A0"/>
    <w:rsid w:val="00C069DE"/>
    <w:rsid w:val="00C06D42"/>
    <w:rsid w:val="00C06EC5"/>
    <w:rsid w:val="00C0707E"/>
    <w:rsid w:val="00C073AE"/>
    <w:rsid w:val="00C078E4"/>
    <w:rsid w:val="00C07908"/>
    <w:rsid w:val="00C07977"/>
    <w:rsid w:val="00C07AB9"/>
    <w:rsid w:val="00C07C25"/>
    <w:rsid w:val="00C07C6D"/>
    <w:rsid w:val="00C07D1D"/>
    <w:rsid w:val="00C07D54"/>
    <w:rsid w:val="00C07DFE"/>
    <w:rsid w:val="00C07F9A"/>
    <w:rsid w:val="00C1004C"/>
    <w:rsid w:val="00C104C6"/>
    <w:rsid w:val="00C104EE"/>
    <w:rsid w:val="00C10555"/>
    <w:rsid w:val="00C10683"/>
    <w:rsid w:val="00C1068C"/>
    <w:rsid w:val="00C10A54"/>
    <w:rsid w:val="00C1132A"/>
    <w:rsid w:val="00C11654"/>
    <w:rsid w:val="00C116A7"/>
    <w:rsid w:val="00C11A80"/>
    <w:rsid w:val="00C125AA"/>
    <w:rsid w:val="00C128FC"/>
    <w:rsid w:val="00C12C06"/>
    <w:rsid w:val="00C12C0D"/>
    <w:rsid w:val="00C12C49"/>
    <w:rsid w:val="00C12CBD"/>
    <w:rsid w:val="00C12DB6"/>
    <w:rsid w:val="00C12DC5"/>
    <w:rsid w:val="00C12E4D"/>
    <w:rsid w:val="00C12F2B"/>
    <w:rsid w:val="00C12F5F"/>
    <w:rsid w:val="00C13224"/>
    <w:rsid w:val="00C1324A"/>
    <w:rsid w:val="00C13355"/>
    <w:rsid w:val="00C135AF"/>
    <w:rsid w:val="00C13792"/>
    <w:rsid w:val="00C138F0"/>
    <w:rsid w:val="00C1395E"/>
    <w:rsid w:val="00C139CB"/>
    <w:rsid w:val="00C13A7B"/>
    <w:rsid w:val="00C13C80"/>
    <w:rsid w:val="00C13D14"/>
    <w:rsid w:val="00C13D81"/>
    <w:rsid w:val="00C13E41"/>
    <w:rsid w:val="00C13EA6"/>
    <w:rsid w:val="00C13F0D"/>
    <w:rsid w:val="00C13F93"/>
    <w:rsid w:val="00C13FDA"/>
    <w:rsid w:val="00C14166"/>
    <w:rsid w:val="00C144B9"/>
    <w:rsid w:val="00C14972"/>
    <w:rsid w:val="00C14AC8"/>
    <w:rsid w:val="00C15645"/>
    <w:rsid w:val="00C15CEA"/>
    <w:rsid w:val="00C15D26"/>
    <w:rsid w:val="00C15F91"/>
    <w:rsid w:val="00C160C3"/>
    <w:rsid w:val="00C1613D"/>
    <w:rsid w:val="00C16221"/>
    <w:rsid w:val="00C163E5"/>
    <w:rsid w:val="00C16417"/>
    <w:rsid w:val="00C16566"/>
    <w:rsid w:val="00C16751"/>
    <w:rsid w:val="00C16817"/>
    <w:rsid w:val="00C169B2"/>
    <w:rsid w:val="00C16AF2"/>
    <w:rsid w:val="00C16B08"/>
    <w:rsid w:val="00C16B21"/>
    <w:rsid w:val="00C16CC8"/>
    <w:rsid w:val="00C16D92"/>
    <w:rsid w:val="00C16E9D"/>
    <w:rsid w:val="00C172DF"/>
    <w:rsid w:val="00C172FB"/>
    <w:rsid w:val="00C173D7"/>
    <w:rsid w:val="00C173ED"/>
    <w:rsid w:val="00C17870"/>
    <w:rsid w:val="00C178FF"/>
    <w:rsid w:val="00C17B5D"/>
    <w:rsid w:val="00C17BF2"/>
    <w:rsid w:val="00C17C17"/>
    <w:rsid w:val="00C17C73"/>
    <w:rsid w:val="00C20281"/>
    <w:rsid w:val="00C202B8"/>
    <w:rsid w:val="00C20405"/>
    <w:rsid w:val="00C20521"/>
    <w:rsid w:val="00C20651"/>
    <w:rsid w:val="00C20776"/>
    <w:rsid w:val="00C20B00"/>
    <w:rsid w:val="00C20C88"/>
    <w:rsid w:val="00C20CC6"/>
    <w:rsid w:val="00C20D37"/>
    <w:rsid w:val="00C20E6C"/>
    <w:rsid w:val="00C21138"/>
    <w:rsid w:val="00C212A3"/>
    <w:rsid w:val="00C21450"/>
    <w:rsid w:val="00C21579"/>
    <w:rsid w:val="00C215CD"/>
    <w:rsid w:val="00C216BF"/>
    <w:rsid w:val="00C2179C"/>
    <w:rsid w:val="00C21807"/>
    <w:rsid w:val="00C21831"/>
    <w:rsid w:val="00C2190E"/>
    <w:rsid w:val="00C219F9"/>
    <w:rsid w:val="00C21E87"/>
    <w:rsid w:val="00C21F69"/>
    <w:rsid w:val="00C2215B"/>
    <w:rsid w:val="00C22282"/>
    <w:rsid w:val="00C2240F"/>
    <w:rsid w:val="00C225B6"/>
    <w:rsid w:val="00C225FD"/>
    <w:rsid w:val="00C228DD"/>
    <w:rsid w:val="00C22ABE"/>
    <w:rsid w:val="00C22C47"/>
    <w:rsid w:val="00C231F8"/>
    <w:rsid w:val="00C23298"/>
    <w:rsid w:val="00C232E8"/>
    <w:rsid w:val="00C233E3"/>
    <w:rsid w:val="00C23462"/>
    <w:rsid w:val="00C23911"/>
    <w:rsid w:val="00C23A2B"/>
    <w:rsid w:val="00C23B00"/>
    <w:rsid w:val="00C242BC"/>
    <w:rsid w:val="00C243CF"/>
    <w:rsid w:val="00C24501"/>
    <w:rsid w:val="00C24608"/>
    <w:rsid w:val="00C246AE"/>
    <w:rsid w:val="00C246BC"/>
    <w:rsid w:val="00C2483A"/>
    <w:rsid w:val="00C24842"/>
    <w:rsid w:val="00C24AD5"/>
    <w:rsid w:val="00C24C42"/>
    <w:rsid w:val="00C24E31"/>
    <w:rsid w:val="00C25018"/>
    <w:rsid w:val="00C2546B"/>
    <w:rsid w:val="00C25535"/>
    <w:rsid w:val="00C256E7"/>
    <w:rsid w:val="00C257CE"/>
    <w:rsid w:val="00C25A69"/>
    <w:rsid w:val="00C25ACA"/>
    <w:rsid w:val="00C25ACD"/>
    <w:rsid w:val="00C25B0B"/>
    <w:rsid w:val="00C26064"/>
    <w:rsid w:val="00C26341"/>
    <w:rsid w:val="00C265FD"/>
    <w:rsid w:val="00C2668F"/>
    <w:rsid w:val="00C266E5"/>
    <w:rsid w:val="00C26715"/>
    <w:rsid w:val="00C26838"/>
    <w:rsid w:val="00C26977"/>
    <w:rsid w:val="00C26981"/>
    <w:rsid w:val="00C26B8D"/>
    <w:rsid w:val="00C26C18"/>
    <w:rsid w:val="00C26D07"/>
    <w:rsid w:val="00C26D6A"/>
    <w:rsid w:val="00C26E07"/>
    <w:rsid w:val="00C2732A"/>
    <w:rsid w:val="00C27350"/>
    <w:rsid w:val="00C2744B"/>
    <w:rsid w:val="00C276E8"/>
    <w:rsid w:val="00C27746"/>
    <w:rsid w:val="00C2789D"/>
    <w:rsid w:val="00C27D88"/>
    <w:rsid w:val="00C27DB9"/>
    <w:rsid w:val="00C27F76"/>
    <w:rsid w:val="00C27F8A"/>
    <w:rsid w:val="00C301CA"/>
    <w:rsid w:val="00C3026A"/>
    <w:rsid w:val="00C30435"/>
    <w:rsid w:val="00C3052C"/>
    <w:rsid w:val="00C305E2"/>
    <w:rsid w:val="00C307B3"/>
    <w:rsid w:val="00C3094F"/>
    <w:rsid w:val="00C3099B"/>
    <w:rsid w:val="00C309F1"/>
    <w:rsid w:val="00C30B6A"/>
    <w:rsid w:val="00C30B7D"/>
    <w:rsid w:val="00C30F87"/>
    <w:rsid w:val="00C31063"/>
    <w:rsid w:val="00C31095"/>
    <w:rsid w:val="00C310A7"/>
    <w:rsid w:val="00C311EA"/>
    <w:rsid w:val="00C314FE"/>
    <w:rsid w:val="00C31743"/>
    <w:rsid w:val="00C31986"/>
    <w:rsid w:val="00C31B00"/>
    <w:rsid w:val="00C31C4C"/>
    <w:rsid w:val="00C31DCD"/>
    <w:rsid w:val="00C32000"/>
    <w:rsid w:val="00C320E4"/>
    <w:rsid w:val="00C32235"/>
    <w:rsid w:val="00C32320"/>
    <w:rsid w:val="00C323C4"/>
    <w:rsid w:val="00C32417"/>
    <w:rsid w:val="00C32513"/>
    <w:rsid w:val="00C325AD"/>
    <w:rsid w:val="00C3260C"/>
    <w:rsid w:val="00C32861"/>
    <w:rsid w:val="00C3286F"/>
    <w:rsid w:val="00C32882"/>
    <w:rsid w:val="00C32A6B"/>
    <w:rsid w:val="00C32AEE"/>
    <w:rsid w:val="00C331FA"/>
    <w:rsid w:val="00C333BF"/>
    <w:rsid w:val="00C33717"/>
    <w:rsid w:val="00C3373F"/>
    <w:rsid w:val="00C337FC"/>
    <w:rsid w:val="00C33AF8"/>
    <w:rsid w:val="00C33F6D"/>
    <w:rsid w:val="00C33FB2"/>
    <w:rsid w:val="00C34217"/>
    <w:rsid w:val="00C3439D"/>
    <w:rsid w:val="00C3457E"/>
    <w:rsid w:val="00C345EF"/>
    <w:rsid w:val="00C3478D"/>
    <w:rsid w:val="00C348A5"/>
    <w:rsid w:val="00C34A0B"/>
    <w:rsid w:val="00C34C61"/>
    <w:rsid w:val="00C34EA5"/>
    <w:rsid w:val="00C35547"/>
    <w:rsid w:val="00C3561C"/>
    <w:rsid w:val="00C35960"/>
    <w:rsid w:val="00C35E75"/>
    <w:rsid w:val="00C35ECC"/>
    <w:rsid w:val="00C361A5"/>
    <w:rsid w:val="00C361C0"/>
    <w:rsid w:val="00C3634D"/>
    <w:rsid w:val="00C36413"/>
    <w:rsid w:val="00C3651D"/>
    <w:rsid w:val="00C366C6"/>
    <w:rsid w:val="00C367CD"/>
    <w:rsid w:val="00C369DF"/>
    <w:rsid w:val="00C36A73"/>
    <w:rsid w:val="00C36BEC"/>
    <w:rsid w:val="00C36BFC"/>
    <w:rsid w:val="00C36CB2"/>
    <w:rsid w:val="00C370E4"/>
    <w:rsid w:val="00C372A3"/>
    <w:rsid w:val="00C3737D"/>
    <w:rsid w:val="00C374D8"/>
    <w:rsid w:val="00C375C0"/>
    <w:rsid w:val="00C3761F"/>
    <w:rsid w:val="00C37649"/>
    <w:rsid w:val="00C37688"/>
    <w:rsid w:val="00C378B1"/>
    <w:rsid w:val="00C37A50"/>
    <w:rsid w:val="00C37CBD"/>
    <w:rsid w:val="00C37FC5"/>
    <w:rsid w:val="00C40231"/>
    <w:rsid w:val="00C40320"/>
    <w:rsid w:val="00C40427"/>
    <w:rsid w:val="00C40629"/>
    <w:rsid w:val="00C40786"/>
    <w:rsid w:val="00C4082A"/>
    <w:rsid w:val="00C40BC8"/>
    <w:rsid w:val="00C40C79"/>
    <w:rsid w:val="00C40C9C"/>
    <w:rsid w:val="00C40D2C"/>
    <w:rsid w:val="00C40EDB"/>
    <w:rsid w:val="00C40FDF"/>
    <w:rsid w:val="00C41119"/>
    <w:rsid w:val="00C41171"/>
    <w:rsid w:val="00C411CC"/>
    <w:rsid w:val="00C41481"/>
    <w:rsid w:val="00C414D7"/>
    <w:rsid w:val="00C417B2"/>
    <w:rsid w:val="00C419E3"/>
    <w:rsid w:val="00C41BE8"/>
    <w:rsid w:val="00C41BED"/>
    <w:rsid w:val="00C41C76"/>
    <w:rsid w:val="00C41C7F"/>
    <w:rsid w:val="00C41E09"/>
    <w:rsid w:val="00C42067"/>
    <w:rsid w:val="00C4229B"/>
    <w:rsid w:val="00C425E1"/>
    <w:rsid w:val="00C42695"/>
    <w:rsid w:val="00C42749"/>
    <w:rsid w:val="00C427BD"/>
    <w:rsid w:val="00C42A3A"/>
    <w:rsid w:val="00C42AA0"/>
    <w:rsid w:val="00C42F8F"/>
    <w:rsid w:val="00C42FC8"/>
    <w:rsid w:val="00C430A8"/>
    <w:rsid w:val="00C4313C"/>
    <w:rsid w:val="00C431E0"/>
    <w:rsid w:val="00C43AB9"/>
    <w:rsid w:val="00C43B64"/>
    <w:rsid w:val="00C43C99"/>
    <w:rsid w:val="00C44196"/>
    <w:rsid w:val="00C441F4"/>
    <w:rsid w:val="00C4435F"/>
    <w:rsid w:val="00C44460"/>
    <w:rsid w:val="00C44861"/>
    <w:rsid w:val="00C44AB9"/>
    <w:rsid w:val="00C44C94"/>
    <w:rsid w:val="00C4516E"/>
    <w:rsid w:val="00C451FB"/>
    <w:rsid w:val="00C452B6"/>
    <w:rsid w:val="00C453C3"/>
    <w:rsid w:val="00C454DF"/>
    <w:rsid w:val="00C456DE"/>
    <w:rsid w:val="00C4575A"/>
    <w:rsid w:val="00C458FB"/>
    <w:rsid w:val="00C459D6"/>
    <w:rsid w:val="00C459F0"/>
    <w:rsid w:val="00C45A00"/>
    <w:rsid w:val="00C45C99"/>
    <w:rsid w:val="00C45E65"/>
    <w:rsid w:val="00C46028"/>
    <w:rsid w:val="00C460FD"/>
    <w:rsid w:val="00C4622A"/>
    <w:rsid w:val="00C4622F"/>
    <w:rsid w:val="00C4629F"/>
    <w:rsid w:val="00C466CD"/>
    <w:rsid w:val="00C466D4"/>
    <w:rsid w:val="00C46EA7"/>
    <w:rsid w:val="00C471C6"/>
    <w:rsid w:val="00C47447"/>
    <w:rsid w:val="00C4767A"/>
    <w:rsid w:val="00C476D9"/>
    <w:rsid w:val="00C4774E"/>
    <w:rsid w:val="00C47814"/>
    <w:rsid w:val="00C4782E"/>
    <w:rsid w:val="00C47F37"/>
    <w:rsid w:val="00C50057"/>
    <w:rsid w:val="00C500C7"/>
    <w:rsid w:val="00C500E3"/>
    <w:rsid w:val="00C50185"/>
    <w:rsid w:val="00C50294"/>
    <w:rsid w:val="00C504DE"/>
    <w:rsid w:val="00C50501"/>
    <w:rsid w:val="00C50539"/>
    <w:rsid w:val="00C506F1"/>
    <w:rsid w:val="00C50A51"/>
    <w:rsid w:val="00C50C13"/>
    <w:rsid w:val="00C50D01"/>
    <w:rsid w:val="00C50DD8"/>
    <w:rsid w:val="00C50DE6"/>
    <w:rsid w:val="00C51141"/>
    <w:rsid w:val="00C511E1"/>
    <w:rsid w:val="00C511F2"/>
    <w:rsid w:val="00C51765"/>
    <w:rsid w:val="00C517B5"/>
    <w:rsid w:val="00C5182A"/>
    <w:rsid w:val="00C51886"/>
    <w:rsid w:val="00C51A3C"/>
    <w:rsid w:val="00C51DE5"/>
    <w:rsid w:val="00C520ED"/>
    <w:rsid w:val="00C521AB"/>
    <w:rsid w:val="00C5255E"/>
    <w:rsid w:val="00C527FA"/>
    <w:rsid w:val="00C5294A"/>
    <w:rsid w:val="00C529EF"/>
    <w:rsid w:val="00C52DBF"/>
    <w:rsid w:val="00C53030"/>
    <w:rsid w:val="00C5337A"/>
    <w:rsid w:val="00C53D26"/>
    <w:rsid w:val="00C53D64"/>
    <w:rsid w:val="00C53E7C"/>
    <w:rsid w:val="00C53F3C"/>
    <w:rsid w:val="00C5420B"/>
    <w:rsid w:val="00C545E7"/>
    <w:rsid w:val="00C5468E"/>
    <w:rsid w:val="00C54739"/>
    <w:rsid w:val="00C5474E"/>
    <w:rsid w:val="00C54846"/>
    <w:rsid w:val="00C54B7E"/>
    <w:rsid w:val="00C54B81"/>
    <w:rsid w:val="00C54CF5"/>
    <w:rsid w:val="00C54EF5"/>
    <w:rsid w:val="00C550AE"/>
    <w:rsid w:val="00C55107"/>
    <w:rsid w:val="00C553C9"/>
    <w:rsid w:val="00C55758"/>
    <w:rsid w:val="00C558F9"/>
    <w:rsid w:val="00C55901"/>
    <w:rsid w:val="00C55D96"/>
    <w:rsid w:val="00C561C8"/>
    <w:rsid w:val="00C562E4"/>
    <w:rsid w:val="00C5630C"/>
    <w:rsid w:val="00C564E1"/>
    <w:rsid w:val="00C56700"/>
    <w:rsid w:val="00C56745"/>
    <w:rsid w:val="00C5676B"/>
    <w:rsid w:val="00C56959"/>
    <w:rsid w:val="00C56A54"/>
    <w:rsid w:val="00C56D39"/>
    <w:rsid w:val="00C56D51"/>
    <w:rsid w:val="00C571B0"/>
    <w:rsid w:val="00C57351"/>
    <w:rsid w:val="00C57427"/>
    <w:rsid w:val="00C5743C"/>
    <w:rsid w:val="00C574FB"/>
    <w:rsid w:val="00C57724"/>
    <w:rsid w:val="00C57A12"/>
    <w:rsid w:val="00C57A70"/>
    <w:rsid w:val="00C57B99"/>
    <w:rsid w:val="00C57E3D"/>
    <w:rsid w:val="00C57F80"/>
    <w:rsid w:val="00C60098"/>
    <w:rsid w:val="00C6029B"/>
    <w:rsid w:val="00C602AA"/>
    <w:rsid w:val="00C60313"/>
    <w:rsid w:val="00C609D7"/>
    <w:rsid w:val="00C60B25"/>
    <w:rsid w:val="00C60C66"/>
    <w:rsid w:val="00C60D90"/>
    <w:rsid w:val="00C61135"/>
    <w:rsid w:val="00C61193"/>
    <w:rsid w:val="00C6125D"/>
    <w:rsid w:val="00C613AA"/>
    <w:rsid w:val="00C61502"/>
    <w:rsid w:val="00C61609"/>
    <w:rsid w:val="00C616D9"/>
    <w:rsid w:val="00C61C25"/>
    <w:rsid w:val="00C61FC5"/>
    <w:rsid w:val="00C62866"/>
    <w:rsid w:val="00C62C03"/>
    <w:rsid w:val="00C63719"/>
    <w:rsid w:val="00C63AF0"/>
    <w:rsid w:val="00C63BFE"/>
    <w:rsid w:val="00C63DFE"/>
    <w:rsid w:val="00C63E6A"/>
    <w:rsid w:val="00C63E6C"/>
    <w:rsid w:val="00C63F7F"/>
    <w:rsid w:val="00C63FD2"/>
    <w:rsid w:val="00C64160"/>
    <w:rsid w:val="00C6418B"/>
    <w:rsid w:val="00C641E4"/>
    <w:rsid w:val="00C64243"/>
    <w:rsid w:val="00C6438E"/>
    <w:rsid w:val="00C643BA"/>
    <w:rsid w:val="00C643D2"/>
    <w:rsid w:val="00C64620"/>
    <w:rsid w:val="00C64701"/>
    <w:rsid w:val="00C648A0"/>
    <w:rsid w:val="00C649A4"/>
    <w:rsid w:val="00C64AA0"/>
    <w:rsid w:val="00C64AA4"/>
    <w:rsid w:val="00C64B7C"/>
    <w:rsid w:val="00C64D22"/>
    <w:rsid w:val="00C64F7B"/>
    <w:rsid w:val="00C6531E"/>
    <w:rsid w:val="00C65411"/>
    <w:rsid w:val="00C65475"/>
    <w:rsid w:val="00C65492"/>
    <w:rsid w:val="00C65535"/>
    <w:rsid w:val="00C65E96"/>
    <w:rsid w:val="00C65F39"/>
    <w:rsid w:val="00C65F8C"/>
    <w:rsid w:val="00C66091"/>
    <w:rsid w:val="00C66120"/>
    <w:rsid w:val="00C6614E"/>
    <w:rsid w:val="00C662E6"/>
    <w:rsid w:val="00C663C2"/>
    <w:rsid w:val="00C66498"/>
    <w:rsid w:val="00C66549"/>
    <w:rsid w:val="00C666AC"/>
    <w:rsid w:val="00C666C5"/>
    <w:rsid w:val="00C6676E"/>
    <w:rsid w:val="00C6678E"/>
    <w:rsid w:val="00C668F9"/>
    <w:rsid w:val="00C669CC"/>
    <w:rsid w:val="00C66B04"/>
    <w:rsid w:val="00C66D65"/>
    <w:rsid w:val="00C66E0C"/>
    <w:rsid w:val="00C67256"/>
    <w:rsid w:val="00C674C9"/>
    <w:rsid w:val="00C675F3"/>
    <w:rsid w:val="00C67A6C"/>
    <w:rsid w:val="00C67C5E"/>
    <w:rsid w:val="00C70116"/>
    <w:rsid w:val="00C701D3"/>
    <w:rsid w:val="00C70226"/>
    <w:rsid w:val="00C70371"/>
    <w:rsid w:val="00C703F5"/>
    <w:rsid w:val="00C7061A"/>
    <w:rsid w:val="00C706D7"/>
    <w:rsid w:val="00C70800"/>
    <w:rsid w:val="00C70AD7"/>
    <w:rsid w:val="00C70B84"/>
    <w:rsid w:val="00C70CCC"/>
    <w:rsid w:val="00C7143A"/>
    <w:rsid w:val="00C71633"/>
    <w:rsid w:val="00C71692"/>
    <w:rsid w:val="00C7195E"/>
    <w:rsid w:val="00C719B4"/>
    <w:rsid w:val="00C71B31"/>
    <w:rsid w:val="00C71B5A"/>
    <w:rsid w:val="00C71DFD"/>
    <w:rsid w:val="00C71E4D"/>
    <w:rsid w:val="00C71FBB"/>
    <w:rsid w:val="00C71FD0"/>
    <w:rsid w:val="00C71FFC"/>
    <w:rsid w:val="00C72353"/>
    <w:rsid w:val="00C7240F"/>
    <w:rsid w:val="00C724FC"/>
    <w:rsid w:val="00C72583"/>
    <w:rsid w:val="00C7277F"/>
    <w:rsid w:val="00C727A2"/>
    <w:rsid w:val="00C72A28"/>
    <w:rsid w:val="00C72C1D"/>
    <w:rsid w:val="00C72D6F"/>
    <w:rsid w:val="00C72D83"/>
    <w:rsid w:val="00C73016"/>
    <w:rsid w:val="00C733EB"/>
    <w:rsid w:val="00C734CA"/>
    <w:rsid w:val="00C7380E"/>
    <w:rsid w:val="00C73846"/>
    <w:rsid w:val="00C7386D"/>
    <w:rsid w:val="00C73B14"/>
    <w:rsid w:val="00C73B5E"/>
    <w:rsid w:val="00C73C80"/>
    <w:rsid w:val="00C73E7B"/>
    <w:rsid w:val="00C73F3F"/>
    <w:rsid w:val="00C740F5"/>
    <w:rsid w:val="00C7421B"/>
    <w:rsid w:val="00C74239"/>
    <w:rsid w:val="00C743F9"/>
    <w:rsid w:val="00C745BA"/>
    <w:rsid w:val="00C74618"/>
    <w:rsid w:val="00C746BB"/>
    <w:rsid w:val="00C747E2"/>
    <w:rsid w:val="00C7480E"/>
    <w:rsid w:val="00C74986"/>
    <w:rsid w:val="00C74C01"/>
    <w:rsid w:val="00C74D73"/>
    <w:rsid w:val="00C74E8F"/>
    <w:rsid w:val="00C74EAD"/>
    <w:rsid w:val="00C75120"/>
    <w:rsid w:val="00C75946"/>
    <w:rsid w:val="00C75C4F"/>
    <w:rsid w:val="00C75C9D"/>
    <w:rsid w:val="00C75D2B"/>
    <w:rsid w:val="00C760FE"/>
    <w:rsid w:val="00C761E8"/>
    <w:rsid w:val="00C762CF"/>
    <w:rsid w:val="00C762EB"/>
    <w:rsid w:val="00C76318"/>
    <w:rsid w:val="00C763C6"/>
    <w:rsid w:val="00C7648E"/>
    <w:rsid w:val="00C76492"/>
    <w:rsid w:val="00C764A2"/>
    <w:rsid w:val="00C764C9"/>
    <w:rsid w:val="00C766F4"/>
    <w:rsid w:val="00C7692B"/>
    <w:rsid w:val="00C76CD2"/>
    <w:rsid w:val="00C76E38"/>
    <w:rsid w:val="00C7712D"/>
    <w:rsid w:val="00C772CA"/>
    <w:rsid w:val="00C77464"/>
    <w:rsid w:val="00C77473"/>
    <w:rsid w:val="00C774F3"/>
    <w:rsid w:val="00C777BD"/>
    <w:rsid w:val="00C777F5"/>
    <w:rsid w:val="00C77882"/>
    <w:rsid w:val="00C77B17"/>
    <w:rsid w:val="00C77B2C"/>
    <w:rsid w:val="00C77CE0"/>
    <w:rsid w:val="00C77F7E"/>
    <w:rsid w:val="00C801E6"/>
    <w:rsid w:val="00C80268"/>
    <w:rsid w:val="00C803E6"/>
    <w:rsid w:val="00C804B3"/>
    <w:rsid w:val="00C80534"/>
    <w:rsid w:val="00C80753"/>
    <w:rsid w:val="00C808A7"/>
    <w:rsid w:val="00C80DD0"/>
    <w:rsid w:val="00C811B8"/>
    <w:rsid w:val="00C812D0"/>
    <w:rsid w:val="00C8130E"/>
    <w:rsid w:val="00C81A72"/>
    <w:rsid w:val="00C81B0A"/>
    <w:rsid w:val="00C81E26"/>
    <w:rsid w:val="00C82354"/>
    <w:rsid w:val="00C823B9"/>
    <w:rsid w:val="00C82A81"/>
    <w:rsid w:val="00C82B4E"/>
    <w:rsid w:val="00C82BE9"/>
    <w:rsid w:val="00C82ED7"/>
    <w:rsid w:val="00C8317F"/>
    <w:rsid w:val="00C831A1"/>
    <w:rsid w:val="00C83276"/>
    <w:rsid w:val="00C833F6"/>
    <w:rsid w:val="00C8368C"/>
    <w:rsid w:val="00C83735"/>
    <w:rsid w:val="00C83A4E"/>
    <w:rsid w:val="00C83BE8"/>
    <w:rsid w:val="00C83D15"/>
    <w:rsid w:val="00C83FE4"/>
    <w:rsid w:val="00C840A7"/>
    <w:rsid w:val="00C84290"/>
    <w:rsid w:val="00C8434F"/>
    <w:rsid w:val="00C84650"/>
    <w:rsid w:val="00C8468D"/>
    <w:rsid w:val="00C8489A"/>
    <w:rsid w:val="00C8494B"/>
    <w:rsid w:val="00C84F34"/>
    <w:rsid w:val="00C85231"/>
    <w:rsid w:val="00C8524F"/>
    <w:rsid w:val="00C85375"/>
    <w:rsid w:val="00C85528"/>
    <w:rsid w:val="00C855B2"/>
    <w:rsid w:val="00C85666"/>
    <w:rsid w:val="00C85925"/>
    <w:rsid w:val="00C85B80"/>
    <w:rsid w:val="00C85E0C"/>
    <w:rsid w:val="00C86050"/>
    <w:rsid w:val="00C860AF"/>
    <w:rsid w:val="00C8638C"/>
    <w:rsid w:val="00C86586"/>
    <w:rsid w:val="00C865F2"/>
    <w:rsid w:val="00C869F0"/>
    <w:rsid w:val="00C86B29"/>
    <w:rsid w:val="00C86BA7"/>
    <w:rsid w:val="00C86CDA"/>
    <w:rsid w:val="00C86D9F"/>
    <w:rsid w:val="00C86EF5"/>
    <w:rsid w:val="00C8714B"/>
    <w:rsid w:val="00C87327"/>
    <w:rsid w:val="00C87452"/>
    <w:rsid w:val="00C87913"/>
    <w:rsid w:val="00C87946"/>
    <w:rsid w:val="00C90086"/>
    <w:rsid w:val="00C90129"/>
    <w:rsid w:val="00C905EE"/>
    <w:rsid w:val="00C9060A"/>
    <w:rsid w:val="00C90684"/>
    <w:rsid w:val="00C9074F"/>
    <w:rsid w:val="00C90A04"/>
    <w:rsid w:val="00C90A5F"/>
    <w:rsid w:val="00C90A7D"/>
    <w:rsid w:val="00C90BFD"/>
    <w:rsid w:val="00C90D33"/>
    <w:rsid w:val="00C90FEA"/>
    <w:rsid w:val="00C91277"/>
    <w:rsid w:val="00C91354"/>
    <w:rsid w:val="00C91514"/>
    <w:rsid w:val="00C9164F"/>
    <w:rsid w:val="00C91682"/>
    <w:rsid w:val="00C91A8B"/>
    <w:rsid w:val="00C91AA5"/>
    <w:rsid w:val="00C91C79"/>
    <w:rsid w:val="00C91CE1"/>
    <w:rsid w:val="00C91F41"/>
    <w:rsid w:val="00C9206F"/>
    <w:rsid w:val="00C92072"/>
    <w:rsid w:val="00C9209F"/>
    <w:rsid w:val="00C926C0"/>
    <w:rsid w:val="00C92969"/>
    <w:rsid w:val="00C92BE2"/>
    <w:rsid w:val="00C93040"/>
    <w:rsid w:val="00C935C1"/>
    <w:rsid w:val="00C9360D"/>
    <w:rsid w:val="00C936B0"/>
    <w:rsid w:val="00C9374A"/>
    <w:rsid w:val="00C93786"/>
    <w:rsid w:val="00C938B4"/>
    <w:rsid w:val="00C93BA0"/>
    <w:rsid w:val="00C93C92"/>
    <w:rsid w:val="00C93CDF"/>
    <w:rsid w:val="00C94020"/>
    <w:rsid w:val="00C9411B"/>
    <w:rsid w:val="00C9428D"/>
    <w:rsid w:val="00C94468"/>
    <w:rsid w:val="00C94470"/>
    <w:rsid w:val="00C945CB"/>
    <w:rsid w:val="00C94901"/>
    <w:rsid w:val="00C9498B"/>
    <w:rsid w:val="00C95058"/>
    <w:rsid w:val="00C951DA"/>
    <w:rsid w:val="00C952A6"/>
    <w:rsid w:val="00C954D7"/>
    <w:rsid w:val="00C95573"/>
    <w:rsid w:val="00C959F1"/>
    <w:rsid w:val="00C95C07"/>
    <w:rsid w:val="00C95EA3"/>
    <w:rsid w:val="00C9605C"/>
    <w:rsid w:val="00C9628D"/>
    <w:rsid w:val="00C964A4"/>
    <w:rsid w:val="00C96637"/>
    <w:rsid w:val="00C966A9"/>
    <w:rsid w:val="00C966FC"/>
    <w:rsid w:val="00C9698C"/>
    <w:rsid w:val="00C96BD0"/>
    <w:rsid w:val="00C96CA8"/>
    <w:rsid w:val="00C96CDB"/>
    <w:rsid w:val="00C96D4B"/>
    <w:rsid w:val="00C96DF2"/>
    <w:rsid w:val="00C97072"/>
    <w:rsid w:val="00C971A7"/>
    <w:rsid w:val="00C9742D"/>
    <w:rsid w:val="00C9756E"/>
    <w:rsid w:val="00C97576"/>
    <w:rsid w:val="00C97651"/>
    <w:rsid w:val="00C976A4"/>
    <w:rsid w:val="00C97766"/>
    <w:rsid w:val="00C97831"/>
    <w:rsid w:val="00C978DC"/>
    <w:rsid w:val="00C979E7"/>
    <w:rsid w:val="00C97A45"/>
    <w:rsid w:val="00C97C3A"/>
    <w:rsid w:val="00C97CA2"/>
    <w:rsid w:val="00C97F97"/>
    <w:rsid w:val="00CA02E1"/>
    <w:rsid w:val="00CA069D"/>
    <w:rsid w:val="00CA086D"/>
    <w:rsid w:val="00CA092B"/>
    <w:rsid w:val="00CA0B5B"/>
    <w:rsid w:val="00CA0CAA"/>
    <w:rsid w:val="00CA0E76"/>
    <w:rsid w:val="00CA0FCD"/>
    <w:rsid w:val="00CA0FDF"/>
    <w:rsid w:val="00CA1551"/>
    <w:rsid w:val="00CA1908"/>
    <w:rsid w:val="00CA1965"/>
    <w:rsid w:val="00CA1B7E"/>
    <w:rsid w:val="00CA1C89"/>
    <w:rsid w:val="00CA1D41"/>
    <w:rsid w:val="00CA1E23"/>
    <w:rsid w:val="00CA1EF5"/>
    <w:rsid w:val="00CA22F0"/>
    <w:rsid w:val="00CA24DF"/>
    <w:rsid w:val="00CA25A9"/>
    <w:rsid w:val="00CA2676"/>
    <w:rsid w:val="00CA270E"/>
    <w:rsid w:val="00CA2724"/>
    <w:rsid w:val="00CA284C"/>
    <w:rsid w:val="00CA2B6A"/>
    <w:rsid w:val="00CA2CB4"/>
    <w:rsid w:val="00CA2D2D"/>
    <w:rsid w:val="00CA2DAA"/>
    <w:rsid w:val="00CA2DCA"/>
    <w:rsid w:val="00CA2E9A"/>
    <w:rsid w:val="00CA3068"/>
    <w:rsid w:val="00CA320C"/>
    <w:rsid w:val="00CA3350"/>
    <w:rsid w:val="00CA3356"/>
    <w:rsid w:val="00CA35BC"/>
    <w:rsid w:val="00CA35DD"/>
    <w:rsid w:val="00CA3860"/>
    <w:rsid w:val="00CA38DA"/>
    <w:rsid w:val="00CA3AE8"/>
    <w:rsid w:val="00CA3D71"/>
    <w:rsid w:val="00CA3F08"/>
    <w:rsid w:val="00CA3FCE"/>
    <w:rsid w:val="00CA42B6"/>
    <w:rsid w:val="00CA4342"/>
    <w:rsid w:val="00CA438E"/>
    <w:rsid w:val="00CA4440"/>
    <w:rsid w:val="00CA4457"/>
    <w:rsid w:val="00CA4505"/>
    <w:rsid w:val="00CA45F2"/>
    <w:rsid w:val="00CA482B"/>
    <w:rsid w:val="00CA48EA"/>
    <w:rsid w:val="00CA4E86"/>
    <w:rsid w:val="00CA4F7F"/>
    <w:rsid w:val="00CA5234"/>
    <w:rsid w:val="00CA523C"/>
    <w:rsid w:val="00CA549D"/>
    <w:rsid w:val="00CA558F"/>
    <w:rsid w:val="00CA5692"/>
    <w:rsid w:val="00CA56EF"/>
    <w:rsid w:val="00CA57C0"/>
    <w:rsid w:val="00CA58BF"/>
    <w:rsid w:val="00CA593E"/>
    <w:rsid w:val="00CA5C5F"/>
    <w:rsid w:val="00CA5F38"/>
    <w:rsid w:val="00CA5FEF"/>
    <w:rsid w:val="00CA6032"/>
    <w:rsid w:val="00CA6096"/>
    <w:rsid w:val="00CA60E6"/>
    <w:rsid w:val="00CA6166"/>
    <w:rsid w:val="00CA62B4"/>
    <w:rsid w:val="00CA640E"/>
    <w:rsid w:val="00CA64C0"/>
    <w:rsid w:val="00CA6627"/>
    <w:rsid w:val="00CA6795"/>
    <w:rsid w:val="00CA6ABB"/>
    <w:rsid w:val="00CA6DE7"/>
    <w:rsid w:val="00CA6FB3"/>
    <w:rsid w:val="00CA7008"/>
    <w:rsid w:val="00CA715B"/>
    <w:rsid w:val="00CA72AF"/>
    <w:rsid w:val="00CA72D8"/>
    <w:rsid w:val="00CA7410"/>
    <w:rsid w:val="00CA75C8"/>
    <w:rsid w:val="00CA762F"/>
    <w:rsid w:val="00CA773B"/>
    <w:rsid w:val="00CA77AA"/>
    <w:rsid w:val="00CA7A0B"/>
    <w:rsid w:val="00CA7A3A"/>
    <w:rsid w:val="00CA7BFE"/>
    <w:rsid w:val="00CA7F05"/>
    <w:rsid w:val="00CA7F0B"/>
    <w:rsid w:val="00CB0074"/>
    <w:rsid w:val="00CB0091"/>
    <w:rsid w:val="00CB02A9"/>
    <w:rsid w:val="00CB0307"/>
    <w:rsid w:val="00CB036B"/>
    <w:rsid w:val="00CB0375"/>
    <w:rsid w:val="00CB06B1"/>
    <w:rsid w:val="00CB07EB"/>
    <w:rsid w:val="00CB08B9"/>
    <w:rsid w:val="00CB0918"/>
    <w:rsid w:val="00CB09DE"/>
    <w:rsid w:val="00CB0A7F"/>
    <w:rsid w:val="00CB101E"/>
    <w:rsid w:val="00CB1112"/>
    <w:rsid w:val="00CB1158"/>
    <w:rsid w:val="00CB1321"/>
    <w:rsid w:val="00CB133F"/>
    <w:rsid w:val="00CB13FD"/>
    <w:rsid w:val="00CB1565"/>
    <w:rsid w:val="00CB166A"/>
    <w:rsid w:val="00CB18DB"/>
    <w:rsid w:val="00CB1DAD"/>
    <w:rsid w:val="00CB1E78"/>
    <w:rsid w:val="00CB1F5C"/>
    <w:rsid w:val="00CB2450"/>
    <w:rsid w:val="00CB2579"/>
    <w:rsid w:val="00CB2A5F"/>
    <w:rsid w:val="00CB2B26"/>
    <w:rsid w:val="00CB2C21"/>
    <w:rsid w:val="00CB318A"/>
    <w:rsid w:val="00CB332B"/>
    <w:rsid w:val="00CB342F"/>
    <w:rsid w:val="00CB36F7"/>
    <w:rsid w:val="00CB388B"/>
    <w:rsid w:val="00CB3967"/>
    <w:rsid w:val="00CB39BB"/>
    <w:rsid w:val="00CB3A4C"/>
    <w:rsid w:val="00CB3AED"/>
    <w:rsid w:val="00CB3B66"/>
    <w:rsid w:val="00CB3B87"/>
    <w:rsid w:val="00CB3D1B"/>
    <w:rsid w:val="00CB3D1C"/>
    <w:rsid w:val="00CB3D4F"/>
    <w:rsid w:val="00CB3DCB"/>
    <w:rsid w:val="00CB3DD7"/>
    <w:rsid w:val="00CB4102"/>
    <w:rsid w:val="00CB46BC"/>
    <w:rsid w:val="00CB49E9"/>
    <w:rsid w:val="00CB4A2C"/>
    <w:rsid w:val="00CB4D7B"/>
    <w:rsid w:val="00CB4DE4"/>
    <w:rsid w:val="00CB4DF2"/>
    <w:rsid w:val="00CB5032"/>
    <w:rsid w:val="00CB5088"/>
    <w:rsid w:val="00CB5223"/>
    <w:rsid w:val="00CB5467"/>
    <w:rsid w:val="00CB5474"/>
    <w:rsid w:val="00CB54ED"/>
    <w:rsid w:val="00CB5717"/>
    <w:rsid w:val="00CB575F"/>
    <w:rsid w:val="00CB5B80"/>
    <w:rsid w:val="00CB5C49"/>
    <w:rsid w:val="00CB5E63"/>
    <w:rsid w:val="00CB63A7"/>
    <w:rsid w:val="00CB646A"/>
    <w:rsid w:val="00CB6937"/>
    <w:rsid w:val="00CB695F"/>
    <w:rsid w:val="00CB6B2F"/>
    <w:rsid w:val="00CB6D91"/>
    <w:rsid w:val="00CB6E46"/>
    <w:rsid w:val="00CB6FA1"/>
    <w:rsid w:val="00CB70FE"/>
    <w:rsid w:val="00CB7178"/>
    <w:rsid w:val="00CB720F"/>
    <w:rsid w:val="00CB7247"/>
    <w:rsid w:val="00CB730D"/>
    <w:rsid w:val="00CB75E4"/>
    <w:rsid w:val="00CB7635"/>
    <w:rsid w:val="00CB773D"/>
    <w:rsid w:val="00CB777A"/>
    <w:rsid w:val="00CB78B0"/>
    <w:rsid w:val="00CB7BC8"/>
    <w:rsid w:val="00CB7E9D"/>
    <w:rsid w:val="00CB7FBE"/>
    <w:rsid w:val="00CC02C9"/>
    <w:rsid w:val="00CC05D1"/>
    <w:rsid w:val="00CC0B3A"/>
    <w:rsid w:val="00CC0C01"/>
    <w:rsid w:val="00CC0CAF"/>
    <w:rsid w:val="00CC0E7B"/>
    <w:rsid w:val="00CC14C9"/>
    <w:rsid w:val="00CC17AA"/>
    <w:rsid w:val="00CC18B2"/>
    <w:rsid w:val="00CC19EB"/>
    <w:rsid w:val="00CC1AB8"/>
    <w:rsid w:val="00CC1C46"/>
    <w:rsid w:val="00CC1DAF"/>
    <w:rsid w:val="00CC1DB0"/>
    <w:rsid w:val="00CC1EEB"/>
    <w:rsid w:val="00CC1FE9"/>
    <w:rsid w:val="00CC2167"/>
    <w:rsid w:val="00CC2250"/>
    <w:rsid w:val="00CC23C1"/>
    <w:rsid w:val="00CC2490"/>
    <w:rsid w:val="00CC2506"/>
    <w:rsid w:val="00CC2772"/>
    <w:rsid w:val="00CC290E"/>
    <w:rsid w:val="00CC2A4C"/>
    <w:rsid w:val="00CC2C5B"/>
    <w:rsid w:val="00CC2D3E"/>
    <w:rsid w:val="00CC2D3F"/>
    <w:rsid w:val="00CC2F56"/>
    <w:rsid w:val="00CC2F76"/>
    <w:rsid w:val="00CC3487"/>
    <w:rsid w:val="00CC35F5"/>
    <w:rsid w:val="00CC36AF"/>
    <w:rsid w:val="00CC3A13"/>
    <w:rsid w:val="00CC4162"/>
    <w:rsid w:val="00CC427E"/>
    <w:rsid w:val="00CC4338"/>
    <w:rsid w:val="00CC4460"/>
    <w:rsid w:val="00CC447F"/>
    <w:rsid w:val="00CC44B6"/>
    <w:rsid w:val="00CC45F0"/>
    <w:rsid w:val="00CC4742"/>
    <w:rsid w:val="00CC4753"/>
    <w:rsid w:val="00CC47E6"/>
    <w:rsid w:val="00CC4BD2"/>
    <w:rsid w:val="00CC4C57"/>
    <w:rsid w:val="00CC4D02"/>
    <w:rsid w:val="00CC4D39"/>
    <w:rsid w:val="00CC5498"/>
    <w:rsid w:val="00CC54DA"/>
    <w:rsid w:val="00CC5566"/>
    <w:rsid w:val="00CC591E"/>
    <w:rsid w:val="00CC5A64"/>
    <w:rsid w:val="00CC5B0C"/>
    <w:rsid w:val="00CC5B7B"/>
    <w:rsid w:val="00CC5C84"/>
    <w:rsid w:val="00CC5F31"/>
    <w:rsid w:val="00CC6000"/>
    <w:rsid w:val="00CC6124"/>
    <w:rsid w:val="00CC6374"/>
    <w:rsid w:val="00CC6511"/>
    <w:rsid w:val="00CC6614"/>
    <w:rsid w:val="00CC66A2"/>
    <w:rsid w:val="00CC67D4"/>
    <w:rsid w:val="00CC690C"/>
    <w:rsid w:val="00CC6A35"/>
    <w:rsid w:val="00CC6A98"/>
    <w:rsid w:val="00CC6EF9"/>
    <w:rsid w:val="00CC70C0"/>
    <w:rsid w:val="00CC7120"/>
    <w:rsid w:val="00CC747E"/>
    <w:rsid w:val="00CC75B7"/>
    <w:rsid w:val="00CC7857"/>
    <w:rsid w:val="00CC78E9"/>
    <w:rsid w:val="00CC7921"/>
    <w:rsid w:val="00CC79D3"/>
    <w:rsid w:val="00CC7AC9"/>
    <w:rsid w:val="00CC7B0B"/>
    <w:rsid w:val="00CC7E61"/>
    <w:rsid w:val="00CD04FD"/>
    <w:rsid w:val="00CD078D"/>
    <w:rsid w:val="00CD0846"/>
    <w:rsid w:val="00CD0B02"/>
    <w:rsid w:val="00CD0C5F"/>
    <w:rsid w:val="00CD0CE5"/>
    <w:rsid w:val="00CD0F6C"/>
    <w:rsid w:val="00CD16EA"/>
    <w:rsid w:val="00CD18A2"/>
    <w:rsid w:val="00CD18B1"/>
    <w:rsid w:val="00CD198A"/>
    <w:rsid w:val="00CD1A4D"/>
    <w:rsid w:val="00CD1AE8"/>
    <w:rsid w:val="00CD1C9A"/>
    <w:rsid w:val="00CD1E4F"/>
    <w:rsid w:val="00CD1F03"/>
    <w:rsid w:val="00CD1F1C"/>
    <w:rsid w:val="00CD1FE8"/>
    <w:rsid w:val="00CD2147"/>
    <w:rsid w:val="00CD2166"/>
    <w:rsid w:val="00CD2203"/>
    <w:rsid w:val="00CD226D"/>
    <w:rsid w:val="00CD2371"/>
    <w:rsid w:val="00CD2919"/>
    <w:rsid w:val="00CD2C14"/>
    <w:rsid w:val="00CD2C72"/>
    <w:rsid w:val="00CD2D74"/>
    <w:rsid w:val="00CD2DB0"/>
    <w:rsid w:val="00CD304A"/>
    <w:rsid w:val="00CD30DA"/>
    <w:rsid w:val="00CD341A"/>
    <w:rsid w:val="00CD34C3"/>
    <w:rsid w:val="00CD3593"/>
    <w:rsid w:val="00CD3621"/>
    <w:rsid w:val="00CD39E8"/>
    <w:rsid w:val="00CD3DA3"/>
    <w:rsid w:val="00CD3FA5"/>
    <w:rsid w:val="00CD402F"/>
    <w:rsid w:val="00CD42B3"/>
    <w:rsid w:val="00CD44DD"/>
    <w:rsid w:val="00CD45D3"/>
    <w:rsid w:val="00CD4661"/>
    <w:rsid w:val="00CD4741"/>
    <w:rsid w:val="00CD4A76"/>
    <w:rsid w:val="00CD4B52"/>
    <w:rsid w:val="00CD507E"/>
    <w:rsid w:val="00CD50AC"/>
    <w:rsid w:val="00CD5459"/>
    <w:rsid w:val="00CD583E"/>
    <w:rsid w:val="00CD5A45"/>
    <w:rsid w:val="00CD5A68"/>
    <w:rsid w:val="00CD5B92"/>
    <w:rsid w:val="00CD5FEC"/>
    <w:rsid w:val="00CD612D"/>
    <w:rsid w:val="00CD6401"/>
    <w:rsid w:val="00CD7303"/>
    <w:rsid w:val="00CD7601"/>
    <w:rsid w:val="00CD773A"/>
    <w:rsid w:val="00CD7801"/>
    <w:rsid w:val="00CD7A36"/>
    <w:rsid w:val="00CD7C0D"/>
    <w:rsid w:val="00CD7FD7"/>
    <w:rsid w:val="00CE03F2"/>
    <w:rsid w:val="00CE05BF"/>
    <w:rsid w:val="00CE05D4"/>
    <w:rsid w:val="00CE0604"/>
    <w:rsid w:val="00CE0951"/>
    <w:rsid w:val="00CE10C4"/>
    <w:rsid w:val="00CE1289"/>
    <w:rsid w:val="00CE13D9"/>
    <w:rsid w:val="00CE150B"/>
    <w:rsid w:val="00CE1C38"/>
    <w:rsid w:val="00CE1C6D"/>
    <w:rsid w:val="00CE1C90"/>
    <w:rsid w:val="00CE1EC5"/>
    <w:rsid w:val="00CE20A5"/>
    <w:rsid w:val="00CE22B3"/>
    <w:rsid w:val="00CE25DB"/>
    <w:rsid w:val="00CE2945"/>
    <w:rsid w:val="00CE2B7A"/>
    <w:rsid w:val="00CE2C72"/>
    <w:rsid w:val="00CE3005"/>
    <w:rsid w:val="00CE32E0"/>
    <w:rsid w:val="00CE33DC"/>
    <w:rsid w:val="00CE358B"/>
    <w:rsid w:val="00CE3CC2"/>
    <w:rsid w:val="00CE3E94"/>
    <w:rsid w:val="00CE43B5"/>
    <w:rsid w:val="00CE464F"/>
    <w:rsid w:val="00CE4666"/>
    <w:rsid w:val="00CE494B"/>
    <w:rsid w:val="00CE4A06"/>
    <w:rsid w:val="00CE4A5D"/>
    <w:rsid w:val="00CE4AAE"/>
    <w:rsid w:val="00CE4BE6"/>
    <w:rsid w:val="00CE4FB8"/>
    <w:rsid w:val="00CE502B"/>
    <w:rsid w:val="00CE5048"/>
    <w:rsid w:val="00CE5235"/>
    <w:rsid w:val="00CE53C8"/>
    <w:rsid w:val="00CE5891"/>
    <w:rsid w:val="00CE5B1E"/>
    <w:rsid w:val="00CE5DB6"/>
    <w:rsid w:val="00CE5DBC"/>
    <w:rsid w:val="00CE60FC"/>
    <w:rsid w:val="00CE6292"/>
    <w:rsid w:val="00CE62A4"/>
    <w:rsid w:val="00CE6539"/>
    <w:rsid w:val="00CE6AA0"/>
    <w:rsid w:val="00CE6B64"/>
    <w:rsid w:val="00CE6BE5"/>
    <w:rsid w:val="00CE6E54"/>
    <w:rsid w:val="00CE7024"/>
    <w:rsid w:val="00CE7344"/>
    <w:rsid w:val="00CE7359"/>
    <w:rsid w:val="00CE7475"/>
    <w:rsid w:val="00CE74B2"/>
    <w:rsid w:val="00CE74C9"/>
    <w:rsid w:val="00CE7775"/>
    <w:rsid w:val="00CE7935"/>
    <w:rsid w:val="00CE79E2"/>
    <w:rsid w:val="00CE7A2C"/>
    <w:rsid w:val="00CE7A3D"/>
    <w:rsid w:val="00CE7A94"/>
    <w:rsid w:val="00CE7AC1"/>
    <w:rsid w:val="00CE7BA3"/>
    <w:rsid w:val="00CE7F2D"/>
    <w:rsid w:val="00CE7F83"/>
    <w:rsid w:val="00CF005D"/>
    <w:rsid w:val="00CF01D6"/>
    <w:rsid w:val="00CF02D3"/>
    <w:rsid w:val="00CF02DF"/>
    <w:rsid w:val="00CF03E7"/>
    <w:rsid w:val="00CF043F"/>
    <w:rsid w:val="00CF0440"/>
    <w:rsid w:val="00CF047E"/>
    <w:rsid w:val="00CF0562"/>
    <w:rsid w:val="00CF05E5"/>
    <w:rsid w:val="00CF0628"/>
    <w:rsid w:val="00CF06F2"/>
    <w:rsid w:val="00CF09D9"/>
    <w:rsid w:val="00CF0A12"/>
    <w:rsid w:val="00CF0D4E"/>
    <w:rsid w:val="00CF0DC5"/>
    <w:rsid w:val="00CF0E04"/>
    <w:rsid w:val="00CF0E6F"/>
    <w:rsid w:val="00CF1348"/>
    <w:rsid w:val="00CF1647"/>
    <w:rsid w:val="00CF16A1"/>
    <w:rsid w:val="00CF177A"/>
    <w:rsid w:val="00CF17D3"/>
    <w:rsid w:val="00CF1850"/>
    <w:rsid w:val="00CF1890"/>
    <w:rsid w:val="00CF19C5"/>
    <w:rsid w:val="00CF19D7"/>
    <w:rsid w:val="00CF1BAE"/>
    <w:rsid w:val="00CF1BCC"/>
    <w:rsid w:val="00CF1E7C"/>
    <w:rsid w:val="00CF1F9B"/>
    <w:rsid w:val="00CF21AE"/>
    <w:rsid w:val="00CF22E1"/>
    <w:rsid w:val="00CF22ED"/>
    <w:rsid w:val="00CF26DF"/>
    <w:rsid w:val="00CF28BB"/>
    <w:rsid w:val="00CF2977"/>
    <w:rsid w:val="00CF2C01"/>
    <w:rsid w:val="00CF2C32"/>
    <w:rsid w:val="00CF2E95"/>
    <w:rsid w:val="00CF2F11"/>
    <w:rsid w:val="00CF31E4"/>
    <w:rsid w:val="00CF346E"/>
    <w:rsid w:val="00CF37F4"/>
    <w:rsid w:val="00CF38B0"/>
    <w:rsid w:val="00CF39BD"/>
    <w:rsid w:val="00CF3AA9"/>
    <w:rsid w:val="00CF3AF3"/>
    <w:rsid w:val="00CF3BDA"/>
    <w:rsid w:val="00CF3C13"/>
    <w:rsid w:val="00CF3D63"/>
    <w:rsid w:val="00CF3DE3"/>
    <w:rsid w:val="00CF40FC"/>
    <w:rsid w:val="00CF4207"/>
    <w:rsid w:val="00CF451E"/>
    <w:rsid w:val="00CF4828"/>
    <w:rsid w:val="00CF4CE4"/>
    <w:rsid w:val="00CF4E2C"/>
    <w:rsid w:val="00CF4E3E"/>
    <w:rsid w:val="00CF4F01"/>
    <w:rsid w:val="00CF51D1"/>
    <w:rsid w:val="00CF51EA"/>
    <w:rsid w:val="00CF52E7"/>
    <w:rsid w:val="00CF55AC"/>
    <w:rsid w:val="00CF5797"/>
    <w:rsid w:val="00CF57C4"/>
    <w:rsid w:val="00CF5880"/>
    <w:rsid w:val="00CF5E58"/>
    <w:rsid w:val="00CF62C8"/>
    <w:rsid w:val="00CF6804"/>
    <w:rsid w:val="00CF68A1"/>
    <w:rsid w:val="00CF6969"/>
    <w:rsid w:val="00CF6CE1"/>
    <w:rsid w:val="00CF7566"/>
    <w:rsid w:val="00CF7688"/>
    <w:rsid w:val="00CF772D"/>
    <w:rsid w:val="00CF78DA"/>
    <w:rsid w:val="00CF79CB"/>
    <w:rsid w:val="00CF7CAA"/>
    <w:rsid w:val="00CF7D4B"/>
    <w:rsid w:val="00CF7DA2"/>
    <w:rsid w:val="00CF7E33"/>
    <w:rsid w:val="00D00052"/>
    <w:rsid w:val="00D00303"/>
    <w:rsid w:val="00D0048D"/>
    <w:rsid w:val="00D00A43"/>
    <w:rsid w:val="00D00DF6"/>
    <w:rsid w:val="00D01059"/>
    <w:rsid w:val="00D012B1"/>
    <w:rsid w:val="00D014B3"/>
    <w:rsid w:val="00D01593"/>
    <w:rsid w:val="00D016EE"/>
    <w:rsid w:val="00D01992"/>
    <w:rsid w:val="00D01CBF"/>
    <w:rsid w:val="00D01F53"/>
    <w:rsid w:val="00D020EC"/>
    <w:rsid w:val="00D021AC"/>
    <w:rsid w:val="00D022D0"/>
    <w:rsid w:val="00D022E0"/>
    <w:rsid w:val="00D02AC5"/>
    <w:rsid w:val="00D02B68"/>
    <w:rsid w:val="00D02DC4"/>
    <w:rsid w:val="00D02EE1"/>
    <w:rsid w:val="00D03063"/>
    <w:rsid w:val="00D03188"/>
    <w:rsid w:val="00D03215"/>
    <w:rsid w:val="00D034C8"/>
    <w:rsid w:val="00D036C0"/>
    <w:rsid w:val="00D039F8"/>
    <w:rsid w:val="00D03A6E"/>
    <w:rsid w:val="00D03ACD"/>
    <w:rsid w:val="00D03C51"/>
    <w:rsid w:val="00D03D18"/>
    <w:rsid w:val="00D03F6C"/>
    <w:rsid w:val="00D04138"/>
    <w:rsid w:val="00D04428"/>
    <w:rsid w:val="00D04882"/>
    <w:rsid w:val="00D048A5"/>
    <w:rsid w:val="00D0497B"/>
    <w:rsid w:val="00D04A37"/>
    <w:rsid w:val="00D04D1D"/>
    <w:rsid w:val="00D04D31"/>
    <w:rsid w:val="00D04E17"/>
    <w:rsid w:val="00D054FA"/>
    <w:rsid w:val="00D05515"/>
    <w:rsid w:val="00D056DE"/>
    <w:rsid w:val="00D056FB"/>
    <w:rsid w:val="00D057D3"/>
    <w:rsid w:val="00D057F4"/>
    <w:rsid w:val="00D057FC"/>
    <w:rsid w:val="00D05C63"/>
    <w:rsid w:val="00D062AB"/>
    <w:rsid w:val="00D062CE"/>
    <w:rsid w:val="00D06453"/>
    <w:rsid w:val="00D0653F"/>
    <w:rsid w:val="00D06670"/>
    <w:rsid w:val="00D067FD"/>
    <w:rsid w:val="00D06A04"/>
    <w:rsid w:val="00D06A85"/>
    <w:rsid w:val="00D06EE1"/>
    <w:rsid w:val="00D070D7"/>
    <w:rsid w:val="00D078FA"/>
    <w:rsid w:val="00D07966"/>
    <w:rsid w:val="00D07AC6"/>
    <w:rsid w:val="00D07B31"/>
    <w:rsid w:val="00D07C4A"/>
    <w:rsid w:val="00D07C96"/>
    <w:rsid w:val="00D07EC6"/>
    <w:rsid w:val="00D103F3"/>
    <w:rsid w:val="00D1042A"/>
    <w:rsid w:val="00D106E2"/>
    <w:rsid w:val="00D10975"/>
    <w:rsid w:val="00D10BAC"/>
    <w:rsid w:val="00D10C9F"/>
    <w:rsid w:val="00D10CD2"/>
    <w:rsid w:val="00D10CE1"/>
    <w:rsid w:val="00D10CED"/>
    <w:rsid w:val="00D110ED"/>
    <w:rsid w:val="00D112AB"/>
    <w:rsid w:val="00D112F8"/>
    <w:rsid w:val="00D11374"/>
    <w:rsid w:val="00D11615"/>
    <w:rsid w:val="00D11CB1"/>
    <w:rsid w:val="00D11CB2"/>
    <w:rsid w:val="00D11D67"/>
    <w:rsid w:val="00D11E11"/>
    <w:rsid w:val="00D11FFD"/>
    <w:rsid w:val="00D1220D"/>
    <w:rsid w:val="00D12467"/>
    <w:rsid w:val="00D125CA"/>
    <w:rsid w:val="00D12696"/>
    <w:rsid w:val="00D12841"/>
    <w:rsid w:val="00D128D7"/>
    <w:rsid w:val="00D129FA"/>
    <w:rsid w:val="00D12FEF"/>
    <w:rsid w:val="00D13450"/>
    <w:rsid w:val="00D13523"/>
    <w:rsid w:val="00D13914"/>
    <w:rsid w:val="00D13CF9"/>
    <w:rsid w:val="00D13E1E"/>
    <w:rsid w:val="00D13FD6"/>
    <w:rsid w:val="00D142B9"/>
    <w:rsid w:val="00D145C1"/>
    <w:rsid w:val="00D145FB"/>
    <w:rsid w:val="00D1461C"/>
    <w:rsid w:val="00D14636"/>
    <w:rsid w:val="00D1470A"/>
    <w:rsid w:val="00D148CF"/>
    <w:rsid w:val="00D14A4A"/>
    <w:rsid w:val="00D14B16"/>
    <w:rsid w:val="00D14B5A"/>
    <w:rsid w:val="00D14D75"/>
    <w:rsid w:val="00D14F19"/>
    <w:rsid w:val="00D14F94"/>
    <w:rsid w:val="00D151E2"/>
    <w:rsid w:val="00D1521D"/>
    <w:rsid w:val="00D15266"/>
    <w:rsid w:val="00D152E7"/>
    <w:rsid w:val="00D153F9"/>
    <w:rsid w:val="00D1558F"/>
    <w:rsid w:val="00D1563E"/>
    <w:rsid w:val="00D1570C"/>
    <w:rsid w:val="00D15799"/>
    <w:rsid w:val="00D15860"/>
    <w:rsid w:val="00D158C9"/>
    <w:rsid w:val="00D159E6"/>
    <w:rsid w:val="00D159FB"/>
    <w:rsid w:val="00D15AF8"/>
    <w:rsid w:val="00D15B77"/>
    <w:rsid w:val="00D15FD7"/>
    <w:rsid w:val="00D163A5"/>
    <w:rsid w:val="00D163F3"/>
    <w:rsid w:val="00D16611"/>
    <w:rsid w:val="00D168CB"/>
    <w:rsid w:val="00D16A18"/>
    <w:rsid w:val="00D16B33"/>
    <w:rsid w:val="00D16B77"/>
    <w:rsid w:val="00D17380"/>
    <w:rsid w:val="00D1739A"/>
    <w:rsid w:val="00D17492"/>
    <w:rsid w:val="00D174C3"/>
    <w:rsid w:val="00D176DE"/>
    <w:rsid w:val="00D1773E"/>
    <w:rsid w:val="00D17851"/>
    <w:rsid w:val="00D17994"/>
    <w:rsid w:val="00D179AE"/>
    <w:rsid w:val="00D17CB0"/>
    <w:rsid w:val="00D17E2C"/>
    <w:rsid w:val="00D17E90"/>
    <w:rsid w:val="00D17FDD"/>
    <w:rsid w:val="00D201C7"/>
    <w:rsid w:val="00D201D9"/>
    <w:rsid w:val="00D201E3"/>
    <w:rsid w:val="00D20358"/>
    <w:rsid w:val="00D2038D"/>
    <w:rsid w:val="00D2092E"/>
    <w:rsid w:val="00D20B2D"/>
    <w:rsid w:val="00D20C77"/>
    <w:rsid w:val="00D20E66"/>
    <w:rsid w:val="00D21336"/>
    <w:rsid w:val="00D21737"/>
    <w:rsid w:val="00D21786"/>
    <w:rsid w:val="00D217F2"/>
    <w:rsid w:val="00D2198D"/>
    <w:rsid w:val="00D21A2D"/>
    <w:rsid w:val="00D21BF8"/>
    <w:rsid w:val="00D21C1F"/>
    <w:rsid w:val="00D21D52"/>
    <w:rsid w:val="00D21EE9"/>
    <w:rsid w:val="00D21F80"/>
    <w:rsid w:val="00D2209E"/>
    <w:rsid w:val="00D221BE"/>
    <w:rsid w:val="00D22314"/>
    <w:rsid w:val="00D2234C"/>
    <w:rsid w:val="00D223CD"/>
    <w:rsid w:val="00D2245D"/>
    <w:rsid w:val="00D224F7"/>
    <w:rsid w:val="00D22820"/>
    <w:rsid w:val="00D22BD9"/>
    <w:rsid w:val="00D22D27"/>
    <w:rsid w:val="00D22DF8"/>
    <w:rsid w:val="00D23098"/>
    <w:rsid w:val="00D231F9"/>
    <w:rsid w:val="00D2331B"/>
    <w:rsid w:val="00D23496"/>
    <w:rsid w:val="00D235DE"/>
    <w:rsid w:val="00D23685"/>
    <w:rsid w:val="00D2370A"/>
    <w:rsid w:val="00D23813"/>
    <w:rsid w:val="00D23820"/>
    <w:rsid w:val="00D239B0"/>
    <w:rsid w:val="00D23AA0"/>
    <w:rsid w:val="00D23BFB"/>
    <w:rsid w:val="00D23D6E"/>
    <w:rsid w:val="00D23D95"/>
    <w:rsid w:val="00D23DA6"/>
    <w:rsid w:val="00D23E70"/>
    <w:rsid w:val="00D23FC5"/>
    <w:rsid w:val="00D24032"/>
    <w:rsid w:val="00D240C3"/>
    <w:rsid w:val="00D244EB"/>
    <w:rsid w:val="00D2452F"/>
    <w:rsid w:val="00D24567"/>
    <w:rsid w:val="00D24578"/>
    <w:rsid w:val="00D247AC"/>
    <w:rsid w:val="00D24833"/>
    <w:rsid w:val="00D249C3"/>
    <w:rsid w:val="00D24CC4"/>
    <w:rsid w:val="00D24D7B"/>
    <w:rsid w:val="00D24FA8"/>
    <w:rsid w:val="00D25766"/>
    <w:rsid w:val="00D2585F"/>
    <w:rsid w:val="00D25958"/>
    <w:rsid w:val="00D26181"/>
    <w:rsid w:val="00D26194"/>
    <w:rsid w:val="00D261EA"/>
    <w:rsid w:val="00D263DB"/>
    <w:rsid w:val="00D26633"/>
    <w:rsid w:val="00D26684"/>
    <w:rsid w:val="00D26750"/>
    <w:rsid w:val="00D2678E"/>
    <w:rsid w:val="00D2679B"/>
    <w:rsid w:val="00D26AAA"/>
    <w:rsid w:val="00D26BD7"/>
    <w:rsid w:val="00D26D28"/>
    <w:rsid w:val="00D26D39"/>
    <w:rsid w:val="00D26D5B"/>
    <w:rsid w:val="00D26E57"/>
    <w:rsid w:val="00D26F45"/>
    <w:rsid w:val="00D27110"/>
    <w:rsid w:val="00D2712B"/>
    <w:rsid w:val="00D271C0"/>
    <w:rsid w:val="00D271D0"/>
    <w:rsid w:val="00D271FC"/>
    <w:rsid w:val="00D2738A"/>
    <w:rsid w:val="00D273DC"/>
    <w:rsid w:val="00D27561"/>
    <w:rsid w:val="00D27673"/>
    <w:rsid w:val="00D276EF"/>
    <w:rsid w:val="00D2772E"/>
    <w:rsid w:val="00D27AB8"/>
    <w:rsid w:val="00D27B66"/>
    <w:rsid w:val="00D27E85"/>
    <w:rsid w:val="00D27EB5"/>
    <w:rsid w:val="00D27F79"/>
    <w:rsid w:val="00D30143"/>
    <w:rsid w:val="00D30628"/>
    <w:rsid w:val="00D30AA3"/>
    <w:rsid w:val="00D30AA4"/>
    <w:rsid w:val="00D30E38"/>
    <w:rsid w:val="00D30F74"/>
    <w:rsid w:val="00D313C9"/>
    <w:rsid w:val="00D3148D"/>
    <w:rsid w:val="00D315D3"/>
    <w:rsid w:val="00D315D8"/>
    <w:rsid w:val="00D318C9"/>
    <w:rsid w:val="00D31A70"/>
    <w:rsid w:val="00D31B0B"/>
    <w:rsid w:val="00D31C12"/>
    <w:rsid w:val="00D31E54"/>
    <w:rsid w:val="00D31E69"/>
    <w:rsid w:val="00D31EC4"/>
    <w:rsid w:val="00D31EDC"/>
    <w:rsid w:val="00D31EEB"/>
    <w:rsid w:val="00D32013"/>
    <w:rsid w:val="00D32177"/>
    <w:rsid w:val="00D32180"/>
    <w:rsid w:val="00D3296B"/>
    <w:rsid w:val="00D32D45"/>
    <w:rsid w:val="00D32E60"/>
    <w:rsid w:val="00D33109"/>
    <w:rsid w:val="00D332DF"/>
    <w:rsid w:val="00D33504"/>
    <w:rsid w:val="00D337A6"/>
    <w:rsid w:val="00D338C7"/>
    <w:rsid w:val="00D338F9"/>
    <w:rsid w:val="00D33C97"/>
    <w:rsid w:val="00D33CD3"/>
    <w:rsid w:val="00D33D08"/>
    <w:rsid w:val="00D3404F"/>
    <w:rsid w:val="00D340C4"/>
    <w:rsid w:val="00D341F6"/>
    <w:rsid w:val="00D3436F"/>
    <w:rsid w:val="00D344E9"/>
    <w:rsid w:val="00D34535"/>
    <w:rsid w:val="00D345DE"/>
    <w:rsid w:val="00D345E9"/>
    <w:rsid w:val="00D34A62"/>
    <w:rsid w:val="00D34F29"/>
    <w:rsid w:val="00D35050"/>
    <w:rsid w:val="00D350D6"/>
    <w:rsid w:val="00D35279"/>
    <w:rsid w:val="00D35564"/>
    <w:rsid w:val="00D3560C"/>
    <w:rsid w:val="00D35707"/>
    <w:rsid w:val="00D35C11"/>
    <w:rsid w:val="00D35D8F"/>
    <w:rsid w:val="00D35E79"/>
    <w:rsid w:val="00D36022"/>
    <w:rsid w:val="00D360BB"/>
    <w:rsid w:val="00D36304"/>
    <w:rsid w:val="00D365F0"/>
    <w:rsid w:val="00D365F8"/>
    <w:rsid w:val="00D36673"/>
    <w:rsid w:val="00D36870"/>
    <w:rsid w:val="00D36D3D"/>
    <w:rsid w:val="00D36E64"/>
    <w:rsid w:val="00D36FD5"/>
    <w:rsid w:val="00D3706D"/>
    <w:rsid w:val="00D3709F"/>
    <w:rsid w:val="00D37285"/>
    <w:rsid w:val="00D37402"/>
    <w:rsid w:val="00D37451"/>
    <w:rsid w:val="00D3750B"/>
    <w:rsid w:val="00D37720"/>
    <w:rsid w:val="00D3796E"/>
    <w:rsid w:val="00D379E3"/>
    <w:rsid w:val="00D37D40"/>
    <w:rsid w:val="00D401EB"/>
    <w:rsid w:val="00D4055E"/>
    <w:rsid w:val="00D405A4"/>
    <w:rsid w:val="00D4098B"/>
    <w:rsid w:val="00D40FEE"/>
    <w:rsid w:val="00D413EA"/>
    <w:rsid w:val="00D415BF"/>
    <w:rsid w:val="00D41686"/>
    <w:rsid w:val="00D416E6"/>
    <w:rsid w:val="00D417F9"/>
    <w:rsid w:val="00D41922"/>
    <w:rsid w:val="00D41988"/>
    <w:rsid w:val="00D41ABA"/>
    <w:rsid w:val="00D41CDB"/>
    <w:rsid w:val="00D41F30"/>
    <w:rsid w:val="00D41F72"/>
    <w:rsid w:val="00D423B2"/>
    <w:rsid w:val="00D42406"/>
    <w:rsid w:val="00D424DD"/>
    <w:rsid w:val="00D42509"/>
    <w:rsid w:val="00D42557"/>
    <w:rsid w:val="00D4256D"/>
    <w:rsid w:val="00D42818"/>
    <w:rsid w:val="00D429CB"/>
    <w:rsid w:val="00D42A5A"/>
    <w:rsid w:val="00D42B02"/>
    <w:rsid w:val="00D42D2B"/>
    <w:rsid w:val="00D42F4B"/>
    <w:rsid w:val="00D42FAA"/>
    <w:rsid w:val="00D43038"/>
    <w:rsid w:val="00D43173"/>
    <w:rsid w:val="00D431A1"/>
    <w:rsid w:val="00D432F4"/>
    <w:rsid w:val="00D43645"/>
    <w:rsid w:val="00D43768"/>
    <w:rsid w:val="00D4381F"/>
    <w:rsid w:val="00D43AC8"/>
    <w:rsid w:val="00D44021"/>
    <w:rsid w:val="00D4406F"/>
    <w:rsid w:val="00D442D6"/>
    <w:rsid w:val="00D44360"/>
    <w:rsid w:val="00D44586"/>
    <w:rsid w:val="00D445D4"/>
    <w:rsid w:val="00D446C8"/>
    <w:rsid w:val="00D446E9"/>
    <w:rsid w:val="00D44DBD"/>
    <w:rsid w:val="00D44F32"/>
    <w:rsid w:val="00D45462"/>
    <w:rsid w:val="00D45470"/>
    <w:rsid w:val="00D454AA"/>
    <w:rsid w:val="00D45572"/>
    <w:rsid w:val="00D456A1"/>
    <w:rsid w:val="00D4574A"/>
    <w:rsid w:val="00D457D7"/>
    <w:rsid w:val="00D45A09"/>
    <w:rsid w:val="00D45BF2"/>
    <w:rsid w:val="00D45CAB"/>
    <w:rsid w:val="00D45D4E"/>
    <w:rsid w:val="00D45FB2"/>
    <w:rsid w:val="00D45FB3"/>
    <w:rsid w:val="00D4602B"/>
    <w:rsid w:val="00D4608E"/>
    <w:rsid w:val="00D461B9"/>
    <w:rsid w:val="00D46550"/>
    <w:rsid w:val="00D465F6"/>
    <w:rsid w:val="00D46728"/>
    <w:rsid w:val="00D46920"/>
    <w:rsid w:val="00D46CEE"/>
    <w:rsid w:val="00D46EC3"/>
    <w:rsid w:val="00D47039"/>
    <w:rsid w:val="00D47134"/>
    <w:rsid w:val="00D47199"/>
    <w:rsid w:val="00D471E1"/>
    <w:rsid w:val="00D47255"/>
    <w:rsid w:val="00D4729B"/>
    <w:rsid w:val="00D47401"/>
    <w:rsid w:val="00D474A5"/>
    <w:rsid w:val="00D474B6"/>
    <w:rsid w:val="00D474D1"/>
    <w:rsid w:val="00D47543"/>
    <w:rsid w:val="00D476B6"/>
    <w:rsid w:val="00D47CFF"/>
    <w:rsid w:val="00D47D98"/>
    <w:rsid w:val="00D47F53"/>
    <w:rsid w:val="00D50755"/>
    <w:rsid w:val="00D5093D"/>
    <w:rsid w:val="00D50E98"/>
    <w:rsid w:val="00D50FD0"/>
    <w:rsid w:val="00D5119F"/>
    <w:rsid w:val="00D5162B"/>
    <w:rsid w:val="00D51707"/>
    <w:rsid w:val="00D519F9"/>
    <w:rsid w:val="00D51B5E"/>
    <w:rsid w:val="00D51C62"/>
    <w:rsid w:val="00D51E2C"/>
    <w:rsid w:val="00D51E3E"/>
    <w:rsid w:val="00D51FE7"/>
    <w:rsid w:val="00D52155"/>
    <w:rsid w:val="00D522ED"/>
    <w:rsid w:val="00D5247C"/>
    <w:rsid w:val="00D524F6"/>
    <w:rsid w:val="00D52657"/>
    <w:rsid w:val="00D526A5"/>
    <w:rsid w:val="00D5270E"/>
    <w:rsid w:val="00D52864"/>
    <w:rsid w:val="00D52926"/>
    <w:rsid w:val="00D52988"/>
    <w:rsid w:val="00D52BE2"/>
    <w:rsid w:val="00D52C62"/>
    <w:rsid w:val="00D52CB7"/>
    <w:rsid w:val="00D52EBC"/>
    <w:rsid w:val="00D53075"/>
    <w:rsid w:val="00D530E6"/>
    <w:rsid w:val="00D53228"/>
    <w:rsid w:val="00D5327E"/>
    <w:rsid w:val="00D53353"/>
    <w:rsid w:val="00D53354"/>
    <w:rsid w:val="00D53429"/>
    <w:rsid w:val="00D53513"/>
    <w:rsid w:val="00D536AB"/>
    <w:rsid w:val="00D536BF"/>
    <w:rsid w:val="00D53D49"/>
    <w:rsid w:val="00D53D6F"/>
    <w:rsid w:val="00D53F36"/>
    <w:rsid w:val="00D54519"/>
    <w:rsid w:val="00D545EF"/>
    <w:rsid w:val="00D54692"/>
    <w:rsid w:val="00D54906"/>
    <w:rsid w:val="00D54909"/>
    <w:rsid w:val="00D54D37"/>
    <w:rsid w:val="00D54DFC"/>
    <w:rsid w:val="00D54F53"/>
    <w:rsid w:val="00D551B1"/>
    <w:rsid w:val="00D5571F"/>
    <w:rsid w:val="00D557C6"/>
    <w:rsid w:val="00D55AD2"/>
    <w:rsid w:val="00D55D34"/>
    <w:rsid w:val="00D560DF"/>
    <w:rsid w:val="00D565B2"/>
    <w:rsid w:val="00D56631"/>
    <w:rsid w:val="00D5687C"/>
    <w:rsid w:val="00D56B6F"/>
    <w:rsid w:val="00D56BE7"/>
    <w:rsid w:val="00D56C63"/>
    <w:rsid w:val="00D56CA0"/>
    <w:rsid w:val="00D56CDA"/>
    <w:rsid w:val="00D56DB5"/>
    <w:rsid w:val="00D56DC9"/>
    <w:rsid w:val="00D57146"/>
    <w:rsid w:val="00D571AA"/>
    <w:rsid w:val="00D5722D"/>
    <w:rsid w:val="00D572E4"/>
    <w:rsid w:val="00D5733B"/>
    <w:rsid w:val="00D57399"/>
    <w:rsid w:val="00D573F8"/>
    <w:rsid w:val="00D574C1"/>
    <w:rsid w:val="00D57501"/>
    <w:rsid w:val="00D57633"/>
    <w:rsid w:val="00D57699"/>
    <w:rsid w:val="00D5770A"/>
    <w:rsid w:val="00D57794"/>
    <w:rsid w:val="00D578CF"/>
    <w:rsid w:val="00D57911"/>
    <w:rsid w:val="00D57A33"/>
    <w:rsid w:val="00D57C23"/>
    <w:rsid w:val="00D57D4C"/>
    <w:rsid w:val="00D57D6B"/>
    <w:rsid w:val="00D57DE5"/>
    <w:rsid w:val="00D600DA"/>
    <w:rsid w:val="00D60412"/>
    <w:rsid w:val="00D6047A"/>
    <w:rsid w:val="00D604D3"/>
    <w:rsid w:val="00D60667"/>
    <w:rsid w:val="00D60699"/>
    <w:rsid w:val="00D606BE"/>
    <w:rsid w:val="00D606DC"/>
    <w:rsid w:val="00D60A4B"/>
    <w:rsid w:val="00D60A8C"/>
    <w:rsid w:val="00D60B37"/>
    <w:rsid w:val="00D60C96"/>
    <w:rsid w:val="00D60CBA"/>
    <w:rsid w:val="00D60E0D"/>
    <w:rsid w:val="00D60EC7"/>
    <w:rsid w:val="00D60F32"/>
    <w:rsid w:val="00D61462"/>
    <w:rsid w:val="00D616E1"/>
    <w:rsid w:val="00D61897"/>
    <w:rsid w:val="00D6197F"/>
    <w:rsid w:val="00D61B29"/>
    <w:rsid w:val="00D61CBB"/>
    <w:rsid w:val="00D61FFC"/>
    <w:rsid w:val="00D620EF"/>
    <w:rsid w:val="00D621C4"/>
    <w:rsid w:val="00D62300"/>
    <w:rsid w:val="00D62498"/>
    <w:rsid w:val="00D6249E"/>
    <w:rsid w:val="00D62596"/>
    <w:rsid w:val="00D62658"/>
    <w:rsid w:val="00D62705"/>
    <w:rsid w:val="00D62979"/>
    <w:rsid w:val="00D62B61"/>
    <w:rsid w:val="00D62F2A"/>
    <w:rsid w:val="00D63233"/>
    <w:rsid w:val="00D63305"/>
    <w:rsid w:val="00D634FE"/>
    <w:rsid w:val="00D63646"/>
    <w:rsid w:val="00D63697"/>
    <w:rsid w:val="00D6380B"/>
    <w:rsid w:val="00D6391F"/>
    <w:rsid w:val="00D63A2B"/>
    <w:rsid w:val="00D63AD4"/>
    <w:rsid w:val="00D63CB7"/>
    <w:rsid w:val="00D63DD7"/>
    <w:rsid w:val="00D63F3A"/>
    <w:rsid w:val="00D64092"/>
    <w:rsid w:val="00D641CF"/>
    <w:rsid w:val="00D6431E"/>
    <w:rsid w:val="00D6441F"/>
    <w:rsid w:val="00D647CC"/>
    <w:rsid w:val="00D649E5"/>
    <w:rsid w:val="00D64BAC"/>
    <w:rsid w:val="00D64C53"/>
    <w:rsid w:val="00D64CDF"/>
    <w:rsid w:val="00D64CEC"/>
    <w:rsid w:val="00D64D4B"/>
    <w:rsid w:val="00D64DD9"/>
    <w:rsid w:val="00D65009"/>
    <w:rsid w:val="00D6554E"/>
    <w:rsid w:val="00D65735"/>
    <w:rsid w:val="00D658CB"/>
    <w:rsid w:val="00D659CD"/>
    <w:rsid w:val="00D65A29"/>
    <w:rsid w:val="00D65E74"/>
    <w:rsid w:val="00D65EB6"/>
    <w:rsid w:val="00D65F8B"/>
    <w:rsid w:val="00D65F9C"/>
    <w:rsid w:val="00D66474"/>
    <w:rsid w:val="00D6682F"/>
    <w:rsid w:val="00D6694F"/>
    <w:rsid w:val="00D66961"/>
    <w:rsid w:val="00D66A72"/>
    <w:rsid w:val="00D66E75"/>
    <w:rsid w:val="00D6707E"/>
    <w:rsid w:val="00D67431"/>
    <w:rsid w:val="00D67432"/>
    <w:rsid w:val="00D674C8"/>
    <w:rsid w:val="00D67545"/>
    <w:rsid w:val="00D678EA"/>
    <w:rsid w:val="00D678F3"/>
    <w:rsid w:val="00D67989"/>
    <w:rsid w:val="00D67C89"/>
    <w:rsid w:val="00D67E97"/>
    <w:rsid w:val="00D67F11"/>
    <w:rsid w:val="00D67FD2"/>
    <w:rsid w:val="00D70132"/>
    <w:rsid w:val="00D701A3"/>
    <w:rsid w:val="00D70795"/>
    <w:rsid w:val="00D709D5"/>
    <w:rsid w:val="00D70A2E"/>
    <w:rsid w:val="00D70E5F"/>
    <w:rsid w:val="00D710F7"/>
    <w:rsid w:val="00D711DD"/>
    <w:rsid w:val="00D71560"/>
    <w:rsid w:val="00D71917"/>
    <w:rsid w:val="00D71931"/>
    <w:rsid w:val="00D71997"/>
    <w:rsid w:val="00D71E38"/>
    <w:rsid w:val="00D720F2"/>
    <w:rsid w:val="00D7262C"/>
    <w:rsid w:val="00D726C9"/>
    <w:rsid w:val="00D727DB"/>
    <w:rsid w:val="00D7283F"/>
    <w:rsid w:val="00D72AD2"/>
    <w:rsid w:val="00D72BDE"/>
    <w:rsid w:val="00D72CDC"/>
    <w:rsid w:val="00D72D47"/>
    <w:rsid w:val="00D72D5B"/>
    <w:rsid w:val="00D72E5F"/>
    <w:rsid w:val="00D72F49"/>
    <w:rsid w:val="00D72FD3"/>
    <w:rsid w:val="00D73318"/>
    <w:rsid w:val="00D734FB"/>
    <w:rsid w:val="00D73E29"/>
    <w:rsid w:val="00D73F8D"/>
    <w:rsid w:val="00D74112"/>
    <w:rsid w:val="00D74341"/>
    <w:rsid w:val="00D74985"/>
    <w:rsid w:val="00D74B77"/>
    <w:rsid w:val="00D74C80"/>
    <w:rsid w:val="00D74CE2"/>
    <w:rsid w:val="00D750A1"/>
    <w:rsid w:val="00D75209"/>
    <w:rsid w:val="00D752E6"/>
    <w:rsid w:val="00D7536C"/>
    <w:rsid w:val="00D7538D"/>
    <w:rsid w:val="00D753AF"/>
    <w:rsid w:val="00D754BE"/>
    <w:rsid w:val="00D756F4"/>
    <w:rsid w:val="00D75728"/>
    <w:rsid w:val="00D75CFF"/>
    <w:rsid w:val="00D75F0A"/>
    <w:rsid w:val="00D760EF"/>
    <w:rsid w:val="00D76311"/>
    <w:rsid w:val="00D76388"/>
    <w:rsid w:val="00D76499"/>
    <w:rsid w:val="00D7658B"/>
    <w:rsid w:val="00D765F7"/>
    <w:rsid w:val="00D7666D"/>
    <w:rsid w:val="00D768BD"/>
    <w:rsid w:val="00D769C1"/>
    <w:rsid w:val="00D769EC"/>
    <w:rsid w:val="00D77084"/>
    <w:rsid w:val="00D7729C"/>
    <w:rsid w:val="00D774A1"/>
    <w:rsid w:val="00D77519"/>
    <w:rsid w:val="00D7774A"/>
    <w:rsid w:val="00D77FDA"/>
    <w:rsid w:val="00D8010A"/>
    <w:rsid w:val="00D8028A"/>
    <w:rsid w:val="00D8044E"/>
    <w:rsid w:val="00D804CB"/>
    <w:rsid w:val="00D805F9"/>
    <w:rsid w:val="00D80623"/>
    <w:rsid w:val="00D806A4"/>
    <w:rsid w:val="00D80708"/>
    <w:rsid w:val="00D80825"/>
    <w:rsid w:val="00D8095F"/>
    <w:rsid w:val="00D80E6B"/>
    <w:rsid w:val="00D81033"/>
    <w:rsid w:val="00D81717"/>
    <w:rsid w:val="00D8176F"/>
    <w:rsid w:val="00D81A8C"/>
    <w:rsid w:val="00D81A93"/>
    <w:rsid w:val="00D81B0F"/>
    <w:rsid w:val="00D81BFB"/>
    <w:rsid w:val="00D81E51"/>
    <w:rsid w:val="00D81E5E"/>
    <w:rsid w:val="00D822C3"/>
    <w:rsid w:val="00D822D8"/>
    <w:rsid w:val="00D823CB"/>
    <w:rsid w:val="00D82556"/>
    <w:rsid w:val="00D82A8D"/>
    <w:rsid w:val="00D82EDB"/>
    <w:rsid w:val="00D82FCD"/>
    <w:rsid w:val="00D830FD"/>
    <w:rsid w:val="00D83111"/>
    <w:rsid w:val="00D83133"/>
    <w:rsid w:val="00D83412"/>
    <w:rsid w:val="00D83526"/>
    <w:rsid w:val="00D836EA"/>
    <w:rsid w:val="00D836FC"/>
    <w:rsid w:val="00D83FD1"/>
    <w:rsid w:val="00D840AF"/>
    <w:rsid w:val="00D841EA"/>
    <w:rsid w:val="00D844D6"/>
    <w:rsid w:val="00D84839"/>
    <w:rsid w:val="00D8497B"/>
    <w:rsid w:val="00D84B2A"/>
    <w:rsid w:val="00D84C2E"/>
    <w:rsid w:val="00D84D95"/>
    <w:rsid w:val="00D84D99"/>
    <w:rsid w:val="00D84FA4"/>
    <w:rsid w:val="00D85207"/>
    <w:rsid w:val="00D855E1"/>
    <w:rsid w:val="00D85755"/>
    <w:rsid w:val="00D85B98"/>
    <w:rsid w:val="00D85FB3"/>
    <w:rsid w:val="00D860D2"/>
    <w:rsid w:val="00D861B6"/>
    <w:rsid w:val="00D86389"/>
    <w:rsid w:val="00D863EC"/>
    <w:rsid w:val="00D867D2"/>
    <w:rsid w:val="00D86A6C"/>
    <w:rsid w:val="00D86C18"/>
    <w:rsid w:val="00D86FFF"/>
    <w:rsid w:val="00D8705B"/>
    <w:rsid w:val="00D87102"/>
    <w:rsid w:val="00D87414"/>
    <w:rsid w:val="00D874E6"/>
    <w:rsid w:val="00D87594"/>
    <w:rsid w:val="00D87890"/>
    <w:rsid w:val="00D878CF"/>
    <w:rsid w:val="00D87929"/>
    <w:rsid w:val="00D87952"/>
    <w:rsid w:val="00D87BEC"/>
    <w:rsid w:val="00D87EB6"/>
    <w:rsid w:val="00D900CB"/>
    <w:rsid w:val="00D90290"/>
    <w:rsid w:val="00D907EE"/>
    <w:rsid w:val="00D9105E"/>
    <w:rsid w:val="00D910E5"/>
    <w:rsid w:val="00D91394"/>
    <w:rsid w:val="00D913C8"/>
    <w:rsid w:val="00D9153F"/>
    <w:rsid w:val="00D916C1"/>
    <w:rsid w:val="00D9181E"/>
    <w:rsid w:val="00D918B9"/>
    <w:rsid w:val="00D9193A"/>
    <w:rsid w:val="00D91A2C"/>
    <w:rsid w:val="00D91AB0"/>
    <w:rsid w:val="00D91B86"/>
    <w:rsid w:val="00D91CA4"/>
    <w:rsid w:val="00D91DFC"/>
    <w:rsid w:val="00D92102"/>
    <w:rsid w:val="00D92182"/>
    <w:rsid w:val="00D92582"/>
    <w:rsid w:val="00D925C9"/>
    <w:rsid w:val="00D9284F"/>
    <w:rsid w:val="00D92B4B"/>
    <w:rsid w:val="00D92C01"/>
    <w:rsid w:val="00D92D2C"/>
    <w:rsid w:val="00D93064"/>
    <w:rsid w:val="00D932DE"/>
    <w:rsid w:val="00D932DF"/>
    <w:rsid w:val="00D934E9"/>
    <w:rsid w:val="00D93667"/>
    <w:rsid w:val="00D93710"/>
    <w:rsid w:val="00D93A94"/>
    <w:rsid w:val="00D93DF9"/>
    <w:rsid w:val="00D93F42"/>
    <w:rsid w:val="00D93F8F"/>
    <w:rsid w:val="00D9420C"/>
    <w:rsid w:val="00D944B6"/>
    <w:rsid w:val="00D9464E"/>
    <w:rsid w:val="00D94990"/>
    <w:rsid w:val="00D952E0"/>
    <w:rsid w:val="00D954EC"/>
    <w:rsid w:val="00D95986"/>
    <w:rsid w:val="00D95C60"/>
    <w:rsid w:val="00D95F11"/>
    <w:rsid w:val="00D95FFB"/>
    <w:rsid w:val="00D96220"/>
    <w:rsid w:val="00D963EB"/>
    <w:rsid w:val="00D9666A"/>
    <w:rsid w:val="00D96920"/>
    <w:rsid w:val="00D9699D"/>
    <w:rsid w:val="00D96B06"/>
    <w:rsid w:val="00D96B9C"/>
    <w:rsid w:val="00D97070"/>
    <w:rsid w:val="00D97096"/>
    <w:rsid w:val="00D973E1"/>
    <w:rsid w:val="00D975E0"/>
    <w:rsid w:val="00D9777B"/>
    <w:rsid w:val="00D9791F"/>
    <w:rsid w:val="00D97B90"/>
    <w:rsid w:val="00D97D9E"/>
    <w:rsid w:val="00D97E69"/>
    <w:rsid w:val="00DA044F"/>
    <w:rsid w:val="00DA05FA"/>
    <w:rsid w:val="00DA07F8"/>
    <w:rsid w:val="00DA0819"/>
    <w:rsid w:val="00DA0D6B"/>
    <w:rsid w:val="00DA0E32"/>
    <w:rsid w:val="00DA0F22"/>
    <w:rsid w:val="00DA15C0"/>
    <w:rsid w:val="00DA16A1"/>
    <w:rsid w:val="00DA1711"/>
    <w:rsid w:val="00DA1790"/>
    <w:rsid w:val="00DA1855"/>
    <w:rsid w:val="00DA1945"/>
    <w:rsid w:val="00DA19D7"/>
    <w:rsid w:val="00DA19E9"/>
    <w:rsid w:val="00DA1AD8"/>
    <w:rsid w:val="00DA1B64"/>
    <w:rsid w:val="00DA1B8A"/>
    <w:rsid w:val="00DA1F0B"/>
    <w:rsid w:val="00DA1F5C"/>
    <w:rsid w:val="00DA1FC1"/>
    <w:rsid w:val="00DA20B4"/>
    <w:rsid w:val="00DA21D8"/>
    <w:rsid w:val="00DA228E"/>
    <w:rsid w:val="00DA2675"/>
    <w:rsid w:val="00DA2704"/>
    <w:rsid w:val="00DA2A13"/>
    <w:rsid w:val="00DA2AFA"/>
    <w:rsid w:val="00DA2CDD"/>
    <w:rsid w:val="00DA2EBA"/>
    <w:rsid w:val="00DA2FFC"/>
    <w:rsid w:val="00DA31A0"/>
    <w:rsid w:val="00DA3991"/>
    <w:rsid w:val="00DA3B9F"/>
    <w:rsid w:val="00DA3C96"/>
    <w:rsid w:val="00DA3D2C"/>
    <w:rsid w:val="00DA3EB5"/>
    <w:rsid w:val="00DA3F36"/>
    <w:rsid w:val="00DA421E"/>
    <w:rsid w:val="00DA437E"/>
    <w:rsid w:val="00DA443C"/>
    <w:rsid w:val="00DA4491"/>
    <w:rsid w:val="00DA44CD"/>
    <w:rsid w:val="00DA4814"/>
    <w:rsid w:val="00DA4887"/>
    <w:rsid w:val="00DA4E2D"/>
    <w:rsid w:val="00DA4F23"/>
    <w:rsid w:val="00DA4F3B"/>
    <w:rsid w:val="00DA5050"/>
    <w:rsid w:val="00DA50F4"/>
    <w:rsid w:val="00DA55FC"/>
    <w:rsid w:val="00DA56A1"/>
    <w:rsid w:val="00DA5975"/>
    <w:rsid w:val="00DA59F6"/>
    <w:rsid w:val="00DA5A10"/>
    <w:rsid w:val="00DA5B13"/>
    <w:rsid w:val="00DA5BB4"/>
    <w:rsid w:val="00DA5D3F"/>
    <w:rsid w:val="00DA5DBB"/>
    <w:rsid w:val="00DA6192"/>
    <w:rsid w:val="00DA6322"/>
    <w:rsid w:val="00DA637F"/>
    <w:rsid w:val="00DA64DC"/>
    <w:rsid w:val="00DA6617"/>
    <w:rsid w:val="00DA66C0"/>
    <w:rsid w:val="00DA6DB0"/>
    <w:rsid w:val="00DA6DE6"/>
    <w:rsid w:val="00DA7054"/>
    <w:rsid w:val="00DA709F"/>
    <w:rsid w:val="00DA729B"/>
    <w:rsid w:val="00DA72DF"/>
    <w:rsid w:val="00DA76B8"/>
    <w:rsid w:val="00DA7A11"/>
    <w:rsid w:val="00DB01B5"/>
    <w:rsid w:val="00DB0691"/>
    <w:rsid w:val="00DB0744"/>
    <w:rsid w:val="00DB0829"/>
    <w:rsid w:val="00DB0B1A"/>
    <w:rsid w:val="00DB0B31"/>
    <w:rsid w:val="00DB0CAC"/>
    <w:rsid w:val="00DB13B3"/>
    <w:rsid w:val="00DB1428"/>
    <w:rsid w:val="00DB15DF"/>
    <w:rsid w:val="00DB1B52"/>
    <w:rsid w:val="00DB1CC6"/>
    <w:rsid w:val="00DB1DD7"/>
    <w:rsid w:val="00DB1E1E"/>
    <w:rsid w:val="00DB2030"/>
    <w:rsid w:val="00DB28D0"/>
    <w:rsid w:val="00DB2980"/>
    <w:rsid w:val="00DB2B31"/>
    <w:rsid w:val="00DB2B67"/>
    <w:rsid w:val="00DB2D2C"/>
    <w:rsid w:val="00DB2D7C"/>
    <w:rsid w:val="00DB2DA5"/>
    <w:rsid w:val="00DB2EF1"/>
    <w:rsid w:val="00DB2F30"/>
    <w:rsid w:val="00DB38BE"/>
    <w:rsid w:val="00DB39C4"/>
    <w:rsid w:val="00DB39EB"/>
    <w:rsid w:val="00DB3C36"/>
    <w:rsid w:val="00DB3C4E"/>
    <w:rsid w:val="00DB3D15"/>
    <w:rsid w:val="00DB44D6"/>
    <w:rsid w:val="00DB45FE"/>
    <w:rsid w:val="00DB46C8"/>
    <w:rsid w:val="00DB46EF"/>
    <w:rsid w:val="00DB4754"/>
    <w:rsid w:val="00DB4981"/>
    <w:rsid w:val="00DB4AF3"/>
    <w:rsid w:val="00DB5091"/>
    <w:rsid w:val="00DB50BF"/>
    <w:rsid w:val="00DB50E9"/>
    <w:rsid w:val="00DB51C9"/>
    <w:rsid w:val="00DB5417"/>
    <w:rsid w:val="00DB564F"/>
    <w:rsid w:val="00DB584E"/>
    <w:rsid w:val="00DB599F"/>
    <w:rsid w:val="00DB5A6F"/>
    <w:rsid w:val="00DB5DFB"/>
    <w:rsid w:val="00DB5F38"/>
    <w:rsid w:val="00DB625E"/>
    <w:rsid w:val="00DB6364"/>
    <w:rsid w:val="00DB6590"/>
    <w:rsid w:val="00DB65A2"/>
    <w:rsid w:val="00DB65D0"/>
    <w:rsid w:val="00DB662B"/>
    <w:rsid w:val="00DB6CF2"/>
    <w:rsid w:val="00DB6EED"/>
    <w:rsid w:val="00DB6EFF"/>
    <w:rsid w:val="00DB6F8B"/>
    <w:rsid w:val="00DB71E4"/>
    <w:rsid w:val="00DB730B"/>
    <w:rsid w:val="00DB748B"/>
    <w:rsid w:val="00DB757F"/>
    <w:rsid w:val="00DB75DE"/>
    <w:rsid w:val="00DB7AB1"/>
    <w:rsid w:val="00DB7B44"/>
    <w:rsid w:val="00DB7C74"/>
    <w:rsid w:val="00DB7CBF"/>
    <w:rsid w:val="00DB7E8D"/>
    <w:rsid w:val="00DB7F07"/>
    <w:rsid w:val="00DC004A"/>
    <w:rsid w:val="00DC005D"/>
    <w:rsid w:val="00DC0164"/>
    <w:rsid w:val="00DC0187"/>
    <w:rsid w:val="00DC01A6"/>
    <w:rsid w:val="00DC03C7"/>
    <w:rsid w:val="00DC03E7"/>
    <w:rsid w:val="00DC06F2"/>
    <w:rsid w:val="00DC09C1"/>
    <w:rsid w:val="00DC0B01"/>
    <w:rsid w:val="00DC0BBC"/>
    <w:rsid w:val="00DC0D4C"/>
    <w:rsid w:val="00DC0FB6"/>
    <w:rsid w:val="00DC0FCC"/>
    <w:rsid w:val="00DC10DB"/>
    <w:rsid w:val="00DC11B9"/>
    <w:rsid w:val="00DC17EE"/>
    <w:rsid w:val="00DC18C4"/>
    <w:rsid w:val="00DC1A36"/>
    <w:rsid w:val="00DC1D18"/>
    <w:rsid w:val="00DC1E19"/>
    <w:rsid w:val="00DC1F26"/>
    <w:rsid w:val="00DC1FB3"/>
    <w:rsid w:val="00DC1FC0"/>
    <w:rsid w:val="00DC217B"/>
    <w:rsid w:val="00DC22D2"/>
    <w:rsid w:val="00DC2453"/>
    <w:rsid w:val="00DC24CE"/>
    <w:rsid w:val="00DC2655"/>
    <w:rsid w:val="00DC26A8"/>
    <w:rsid w:val="00DC2772"/>
    <w:rsid w:val="00DC2781"/>
    <w:rsid w:val="00DC29C9"/>
    <w:rsid w:val="00DC2B38"/>
    <w:rsid w:val="00DC2CC0"/>
    <w:rsid w:val="00DC2D82"/>
    <w:rsid w:val="00DC2F9C"/>
    <w:rsid w:val="00DC3252"/>
    <w:rsid w:val="00DC328C"/>
    <w:rsid w:val="00DC345D"/>
    <w:rsid w:val="00DC36AA"/>
    <w:rsid w:val="00DC38F2"/>
    <w:rsid w:val="00DC3D68"/>
    <w:rsid w:val="00DC3D71"/>
    <w:rsid w:val="00DC3EC4"/>
    <w:rsid w:val="00DC408D"/>
    <w:rsid w:val="00DC40A8"/>
    <w:rsid w:val="00DC41A1"/>
    <w:rsid w:val="00DC4218"/>
    <w:rsid w:val="00DC44B7"/>
    <w:rsid w:val="00DC458E"/>
    <w:rsid w:val="00DC475B"/>
    <w:rsid w:val="00DC480E"/>
    <w:rsid w:val="00DC494B"/>
    <w:rsid w:val="00DC4ACE"/>
    <w:rsid w:val="00DC4B27"/>
    <w:rsid w:val="00DC4EA2"/>
    <w:rsid w:val="00DC4ED2"/>
    <w:rsid w:val="00DC51F1"/>
    <w:rsid w:val="00DC5217"/>
    <w:rsid w:val="00DC5272"/>
    <w:rsid w:val="00DC54FC"/>
    <w:rsid w:val="00DC5559"/>
    <w:rsid w:val="00DC5745"/>
    <w:rsid w:val="00DC5869"/>
    <w:rsid w:val="00DC5A29"/>
    <w:rsid w:val="00DC5AB6"/>
    <w:rsid w:val="00DC5AC5"/>
    <w:rsid w:val="00DC5D81"/>
    <w:rsid w:val="00DC5F0C"/>
    <w:rsid w:val="00DC5F3F"/>
    <w:rsid w:val="00DC5F51"/>
    <w:rsid w:val="00DC644C"/>
    <w:rsid w:val="00DC64DE"/>
    <w:rsid w:val="00DC6545"/>
    <w:rsid w:val="00DC657A"/>
    <w:rsid w:val="00DC6615"/>
    <w:rsid w:val="00DC66D3"/>
    <w:rsid w:val="00DC67A6"/>
    <w:rsid w:val="00DC7108"/>
    <w:rsid w:val="00DC711F"/>
    <w:rsid w:val="00DC72AE"/>
    <w:rsid w:val="00DC7884"/>
    <w:rsid w:val="00DC7B37"/>
    <w:rsid w:val="00DC7F1D"/>
    <w:rsid w:val="00DD00CF"/>
    <w:rsid w:val="00DD00F3"/>
    <w:rsid w:val="00DD0675"/>
    <w:rsid w:val="00DD0AAD"/>
    <w:rsid w:val="00DD0D2F"/>
    <w:rsid w:val="00DD1075"/>
    <w:rsid w:val="00DD116E"/>
    <w:rsid w:val="00DD1521"/>
    <w:rsid w:val="00DD15A6"/>
    <w:rsid w:val="00DD16E2"/>
    <w:rsid w:val="00DD18D5"/>
    <w:rsid w:val="00DD18ED"/>
    <w:rsid w:val="00DD1AAE"/>
    <w:rsid w:val="00DD1C62"/>
    <w:rsid w:val="00DD1CFE"/>
    <w:rsid w:val="00DD1E96"/>
    <w:rsid w:val="00DD216D"/>
    <w:rsid w:val="00DD224C"/>
    <w:rsid w:val="00DD2270"/>
    <w:rsid w:val="00DD23D7"/>
    <w:rsid w:val="00DD2A81"/>
    <w:rsid w:val="00DD31A6"/>
    <w:rsid w:val="00DD341E"/>
    <w:rsid w:val="00DD366A"/>
    <w:rsid w:val="00DD3671"/>
    <w:rsid w:val="00DD3972"/>
    <w:rsid w:val="00DD3C8B"/>
    <w:rsid w:val="00DD3D29"/>
    <w:rsid w:val="00DD4371"/>
    <w:rsid w:val="00DD45B6"/>
    <w:rsid w:val="00DD49C7"/>
    <w:rsid w:val="00DD4A1C"/>
    <w:rsid w:val="00DD4AD8"/>
    <w:rsid w:val="00DD4BF6"/>
    <w:rsid w:val="00DD4C2E"/>
    <w:rsid w:val="00DD4E06"/>
    <w:rsid w:val="00DD5027"/>
    <w:rsid w:val="00DD50FA"/>
    <w:rsid w:val="00DD528B"/>
    <w:rsid w:val="00DD52A3"/>
    <w:rsid w:val="00DD54EC"/>
    <w:rsid w:val="00DD55FF"/>
    <w:rsid w:val="00DD5A6D"/>
    <w:rsid w:val="00DD5D40"/>
    <w:rsid w:val="00DD6056"/>
    <w:rsid w:val="00DD60BF"/>
    <w:rsid w:val="00DD62DA"/>
    <w:rsid w:val="00DD6352"/>
    <w:rsid w:val="00DD6400"/>
    <w:rsid w:val="00DD6449"/>
    <w:rsid w:val="00DD679C"/>
    <w:rsid w:val="00DD67B8"/>
    <w:rsid w:val="00DD6F7F"/>
    <w:rsid w:val="00DD6FFB"/>
    <w:rsid w:val="00DD714A"/>
    <w:rsid w:val="00DD72DA"/>
    <w:rsid w:val="00DD7342"/>
    <w:rsid w:val="00DD73E8"/>
    <w:rsid w:val="00DD7882"/>
    <w:rsid w:val="00DD79C1"/>
    <w:rsid w:val="00DE02A6"/>
    <w:rsid w:val="00DE04D3"/>
    <w:rsid w:val="00DE0534"/>
    <w:rsid w:val="00DE0535"/>
    <w:rsid w:val="00DE0577"/>
    <w:rsid w:val="00DE091B"/>
    <w:rsid w:val="00DE0BE0"/>
    <w:rsid w:val="00DE0C01"/>
    <w:rsid w:val="00DE0DB6"/>
    <w:rsid w:val="00DE0F8B"/>
    <w:rsid w:val="00DE10E0"/>
    <w:rsid w:val="00DE1231"/>
    <w:rsid w:val="00DE13D8"/>
    <w:rsid w:val="00DE173C"/>
    <w:rsid w:val="00DE17AD"/>
    <w:rsid w:val="00DE1828"/>
    <w:rsid w:val="00DE18E5"/>
    <w:rsid w:val="00DE1C3B"/>
    <w:rsid w:val="00DE1C7A"/>
    <w:rsid w:val="00DE1ED4"/>
    <w:rsid w:val="00DE1F8B"/>
    <w:rsid w:val="00DE1FF9"/>
    <w:rsid w:val="00DE20D2"/>
    <w:rsid w:val="00DE21AA"/>
    <w:rsid w:val="00DE2442"/>
    <w:rsid w:val="00DE2884"/>
    <w:rsid w:val="00DE2EFA"/>
    <w:rsid w:val="00DE2F1E"/>
    <w:rsid w:val="00DE3076"/>
    <w:rsid w:val="00DE30DE"/>
    <w:rsid w:val="00DE3184"/>
    <w:rsid w:val="00DE3312"/>
    <w:rsid w:val="00DE3368"/>
    <w:rsid w:val="00DE34B5"/>
    <w:rsid w:val="00DE37E9"/>
    <w:rsid w:val="00DE3912"/>
    <w:rsid w:val="00DE3960"/>
    <w:rsid w:val="00DE3BF6"/>
    <w:rsid w:val="00DE3E2C"/>
    <w:rsid w:val="00DE428E"/>
    <w:rsid w:val="00DE44CF"/>
    <w:rsid w:val="00DE4571"/>
    <w:rsid w:val="00DE45C6"/>
    <w:rsid w:val="00DE4604"/>
    <w:rsid w:val="00DE4852"/>
    <w:rsid w:val="00DE4AA5"/>
    <w:rsid w:val="00DE4C47"/>
    <w:rsid w:val="00DE4CA7"/>
    <w:rsid w:val="00DE4F4C"/>
    <w:rsid w:val="00DE5402"/>
    <w:rsid w:val="00DE54E0"/>
    <w:rsid w:val="00DE5512"/>
    <w:rsid w:val="00DE5C75"/>
    <w:rsid w:val="00DE606F"/>
    <w:rsid w:val="00DE60B2"/>
    <w:rsid w:val="00DE631C"/>
    <w:rsid w:val="00DE63DD"/>
    <w:rsid w:val="00DE6465"/>
    <w:rsid w:val="00DE64C0"/>
    <w:rsid w:val="00DE64C2"/>
    <w:rsid w:val="00DE68FD"/>
    <w:rsid w:val="00DE6927"/>
    <w:rsid w:val="00DE6E0C"/>
    <w:rsid w:val="00DE6EFE"/>
    <w:rsid w:val="00DE7639"/>
    <w:rsid w:val="00DE7689"/>
    <w:rsid w:val="00DE785B"/>
    <w:rsid w:val="00DE78E7"/>
    <w:rsid w:val="00DE7A5C"/>
    <w:rsid w:val="00DE7B58"/>
    <w:rsid w:val="00DE7BE2"/>
    <w:rsid w:val="00DE7CEF"/>
    <w:rsid w:val="00DE7DCA"/>
    <w:rsid w:val="00DE7EB1"/>
    <w:rsid w:val="00DF014A"/>
    <w:rsid w:val="00DF01A9"/>
    <w:rsid w:val="00DF01CA"/>
    <w:rsid w:val="00DF03E7"/>
    <w:rsid w:val="00DF0628"/>
    <w:rsid w:val="00DF070C"/>
    <w:rsid w:val="00DF08B6"/>
    <w:rsid w:val="00DF0B36"/>
    <w:rsid w:val="00DF0BDE"/>
    <w:rsid w:val="00DF0C2B"/>
    <w:rsid w:val="00DF0FF1"/>
    <w:rsid w:val="00DF13E6"/>
    <w:rsid w:val="00DF15C6"/>
    <w:rsid w:val="00DF16B9"/>
    <w:rsid w:val="00DF1723"/>
    <w:rsid w:val="00DF173F"/>
    <w:rsid w:val="00DF188C"/>
    <w:rsid w:val="00DF18ED"/>
    <w:rsid w:val="00DF1E1D"/>
    <w:rsid w:val="00DF1F45"/>
    <w:rsid w:val="00DF20E3"/>
    <w:rsid w:val="00DF221B"/>
    <w:rsid w:val="00DF2502"/>
    <w:rsid w:val="00DF2747"/>
    <w:rsid w:val="00DF2928"/>
    <w:rsid w:val="00DF29B3"/>
    <w:rsid w:val="00DF2B44"/>
    <w:rsid w:val="00DF2BAA"/>
    <w:rsid w:val="00DF2DB4"/>
    <w:rsid w:val="00DF37E3"/>
    <w:rsid w:val="00DF39F7"/>
    <w:rsid w:val="00DF3DE0"/>
    <w:rsid w:val="00DF4562"/>
    <w:rsid w:val="00DF4674"/>
    <w:rsid w:val="00DF46B9"/>
    <w:rsid w:val="00DF494B"/>
    <w:rsid w:val="00DF4CB8"/>
    <w:rsid w:val="00DF4CBA"/>
    <w:rsid w:val="00DF4CF4"/>
    <w:rsid w:val="00DF52B0"/>
    <w:rsid w:val="00DF571E"/>
    <w:rsid w:val="00DF57CF"/>
    <w:rsid w:val="00DF5827"/>
    <w:rsid w:val="00DF5ABC"/>
    <w:rsid w:val="00DF5B24"/>
    <w:rsid w:val="00DF5BA9"/>
    <w:rsid w:val="00DF5D63"/>
    <w:rsid w:val="00DF5D6D"/>
    <w:rsid w:val="00DF5E0A"/>
    <w:rsid w:val="00DF5E90"/>
    <w:rsid w:val="00DF5F66"/>
    <w:rsid w:val="00DF62F5"/>
    <w:rsid w:val="00DF63CD"/>
    <w:rsid w:val="00DF6419"/>
    <w:rsid w:val="00DF65D3"/>
    <w:rsid w:val="00DF67A5"/>
    <w:rsid w:val="00DF67F8"/>
    <w:rsid w:val="00DF6981"/>
    <w:rsid w:val="00DF6A62"/>
    <w:rsid w:val="00DF6CE6"/>
    <w:rsid w:val="00DF6D12"/>
    <w:rsid w:val="00DF6FD2"/>
    <w:rsid w:val="00DF714E"/>
    <w:rsid w:val="00DF731B"/>
    <w:rsid w:val="00DF7863"/>
    <w:rsid w:val="00DF7B47"/>
    <w:rsid w:val="00DF7B49"/>
    <w:rsid w:val="00DF7C7C"/>
    <w:rsid w:val="00DF7FBE"/>
    <w:rsid w:val="00E00198"/>
    <w:rsid w:val="00E0022A"/>
    <w:rsid w:val="00E00342"/>
    <w:rsid w:val="00E00A17"/>
    <w:rsid w:val="00E00D79"/>
    <w:rsid w:val="00E00EC1"/>
    <w:rsid w:val="00E01010"/>
    <w:rsid w:val="00E01208"/>
    <w:rsid w:val="00E01230"/>
    <w:rsid w:val="00E014B0"/>
    <w:rsid w:val="00E014E5"/>
    <w:rsid w:val="00E015DE"/>
    <w:rsid w:val="00E016F0"/>
    <w:rsid w:val="00E01727"/>
    <w:rsid w:val="00E0191F"/>
    <w:rsid w:val="00E01B32"/>
    <w:rsid w:val="00E01BEE"/>
    <w:rsid w:val="00E01E21"/>
    <w:rsid w:val="00E01E29"/>
    <w:rsid w:val="00E01F32"/>
    <w:rsid w:val="00E020B6"/>
    <w:rsid w:val="00E0216D"/>
    <w:rsid w:val="00E021A8"/>
    <w:rsid w:val="00E022B1"/>
    <w:rsid w:val="00E022FC"/>
    <w:rsid w:val="00E02357"/>
    <w:rsid w:val="00E02393"/>
    <w:rsid w:val="00E023FD"/>
    <w:rsid w:val="00E02427"/>
    <w:rsid w:val="00E0242A"/>
    <w:rsid w:val="00E024EB"/>
    <w:rsid w:val="00E02558"/>
    <w:rsid w:val="00E02620"/>
    <w:rsid w:val="00E028D2"/>
    <w:rsid w:val="00E0297F"/>
    <w:rsid w:val="00E02A4E"/>
    <w:rsid w:val="00E02C95"/>
    <w:rsid w:val="00E030D6"/>
    <w:rsid w:val="00E0311A"/>
    <w:rsid w:val="00E0319A"/>
    <w:rsid w:val="00E03230"/>
    <w:rsid w:val="00E03358"/>
    <w:rsid w:val="00E033B6"/>
    <w:rsid w:val="00E033D7"/>
    <w:rsid w:val="00E03545"/>
    <w:rsid w:val="00E03590"/>
    <w:rsid w:val="00E036B0"/>
    <w:rsid w:val="00E037FF"/>
    <w:rsid w:val="00E03AFF"/>
    <w:rsid w:val="00E03B13"/>
    <w:rsid w:val="00E03C69"/>
    <w:rsid w:val="00E04289"/>
    <w:rsid w:val="00E04426"/>
    <w:rsid w:val="00E045A3"/>
    <w:rsid w:val="00E04931"/>
    <w:rsid w:val="00E04A5C"/>
    <w:rsid w:val="00E04ADD"/>
    <w:rsid w:val="00E04BBD"/>
    <w:rsid w:val="00E04C81"/>
    <w:rsid w:val="00E04CB1"/>
    <w:rsid w:val="00E04D7F"/>
    <w:rsid w:val="00E04FA8"/>
    <w:rsid w:val="00E05164"/>
    <w:rsid w:val="00E05287"/>
    <w:rsid w:val="00E0562B"/>
    <w:rsid w:val="00E0581C"/>
    <w:rsid w:val="00E05905"/>
    <w:rsid w:val="00E05F7F"/>
    <w:rsid w:val="00E06099"/>
    <w:rsid w:val="00E0691B"/>
    <w:rsid w:val="00E06A3D"/>
    <w:rsid w:val="00E06CD4"/>
    <w:rsid w:val="00E06D96"/>
    <w:rsid w:val="00E06E84"/>
    <w:rsid w:val="00E070E5"/>
    <w:rsid w:val="00E076DF"/>
    <w:rsid w:val="00E076E1"/>
    <w:rsid w:val="00E07EC0"/>
    <w:rsid w:val="00E105A9"/>
    <w:rsid w:val="00E1071A"/>
    <w:rsid w:val="00E10BB3"/>
    <w:rsid w:val="00E10C78"/>
    <w:rsid w:val="00E117E0"/>
    <w:rsid w:val="00E118C7"/>
    <w:rsid w:val="00E11941"/>
    <w:rsid w:val="00E11C7A"/>
    <w:rsid w:val="00E11D7F"/>
    <w:rsid w:val="00E11D96"/>
    <w:rsid w:val="00E11ED9"/>
    <w:rsid w:val="00E11F84"/>
    <w:rsid w:val="00E12055"/>
    <w:rsid w:val="00E120B8"/>
    <w:rsid w:val="00E123BA"/>
    <w:rsid w:val="00E12861"/>
    <w:rsid w:val="00E12ABB"/>
    <w:rsid w:val="00E130C1"/>
    <w:rsid w:val="00E131D4"/>
    <w:rsid w:val="00E1321C"/>
    <w:rsid w:val="00E132C1"/>
    <w:rsid w:val="00E13507"/>
    <w:rsid w:val="00E135FC"/>
    <w:rsid w:val="00E1377F"/>
    <w:rsid w:val="00E13AEC"/>
    <w:rsid w:val="00E1402E"/>
    <w:rsid w:val="00E14054"/>
    <w:rsid w:val="00E1421E"/>
    <w:rsid w:val="00E1430E"/>
    <w:rsid w:val="00E14470"/>
    <w:rsid w:val="00E14C80"/>
    <w:rsid w:val="00E14DE1"/>
    <w:rsid w:val="00E14E28"/>
    <w:rsid w:val="00E14E98"/>
    <w:rsid w:val="00E1503D"/>
    <w:rsid w:val="00E156D5"/>
    <w:rsid w:val="00E15736"/>
    <w:rsid w:val="00E157C6"/>
    <w:rsid w:val="00E15801"/>
    <w:rsid w:val="00E1585E"/>
    <w:rsid w:val="00E15B1E"/>
    <w:rsid w:val="00E15B92"/>
    <w:rsid w:val="00E15E43"/>
    <w:rsid w:val="00E15E4F"/>
    <w:rsid w:val="00E16000"/>
    <w:rsid w:val="00E1628A"/>
    <w:rsid w:val="00E165BD"/>
    <w:rsid w:val="00E166D6"/>
    <w:rsid w:val="00E1677A"/>
    <w:rsid w:val="00E16BBB"/>
    <w:rsid w:val="00E16C95"/>
    <w:rsid w:val="00E16E4B"/>
    <w:rsid w:val="00E170A2"/>
    <w:rsid w:val="00E171E2"/>
    <w:rsid w:val="00E171F8"/>
    <w:rsid w:val="00E1727D"/>
    <w:rsid w:val="00E174AF"/>
    <w:rsid w:val="00E174B3"/>
    <w:rsid w:val="00E17537"/>
    <w:rsid w:val="00E1776E"/>
    <w:rsid w:val="00E17874"/>
    <w:rsid w:val="00E179F6"/>
    <w:rsid w:val="00E17C10"/>
    <w:rsid w:val="00E17D40"/>
    <w:rsid w:val="00E17FE8"/>
    <w:rsid w:val="00E20171"/>
    <w:rsid w:val="00E201E1"/>
    <w:rsid w:val="00E208B3"/>
    <w:rsid w:val="00E20982"/>
    <w:rsid w:val="00E20F01"/>
    <w:rsid w:val="00E20F70"/>
    <w:rsid w:val="00E21051"/>
    <w:rsid w:val="00E21348"/>
    <w:rsid w:val="00E216F0"/>
    <w:rsid w:val="00E21ABC"/>
    <w:rsid w:val="00E220F9"/>
    <w:rsid w:val="00E221B3"/>
    <w:rsid w:val="00E2241B"/>
    <w:rsid w:val="00E2243C"/>
    <w:rsid w:val="00E22513"/>
    <w:rsid w:val="00E22ACF"/>
    <w:rsid w:val="00E22DD2"/>
    <w:rsid w:val="00E230B6"/>
    <w:rsid w:val="00E231C4"/>
    <w:rsid w:val="00E233FC"/>
    <w:rsid w:val="00E234E1"/>
    <w:rsid w:val="00E2351D"/>
    <w:rsid w:val="00E23945"/>
    <w:rsid w:val="00E239C9"/>
    <w:rsid w:val="00E23A8E"/>
    <w:rsid w:val="00E23BE9"/>
    <w:rsid w:val="00E23D31"/>
    <w:rsid w:val="00E23E1A"/>
    <w:rsid w:val="00E23EBA"/>
    <w:rsid w:val="00E2402E"/>
    <w:rsid w:val="00E24054"/>
    <w:rsid w:val="00E2416A"/>
    <w:rsid w:val="00E24263"/>
    <w:rsid w:val="00E242B9"/>
    <w:rsid w:val="00E2431F"/>
    <w:rsid w:val="00E24390"/>
    <w:rsid w:val="00E2440A"/>
    <w:rsid w:val="00E2448D"/>
    <w:rsid w:val="00E244C5"/>
    <w:rsid w:val="00E2459C"/>
    <w:rsid w:val="00E24719"/>
    <w:rsid w:val="00E24C8D"/>
    <w:rsid w:val="00E24D4A"/>
    <w:rsid w:val="00E24E39"/>
    <w:rsid w:val="00E250A7"/>
    <w:rsid w:val="00E2513F"/>
    <w:rsid w:val="00E251B4"/>
    <w:rsid w:val="00E253F3"/>
    <w:rsid w:val="00E254F9"/>
    <w:rsid w:val="00E2562C"/>
    <w:rsid w:val="00E256D8"/>
    <w:rsid w:val="00E259DF"/>
    <w:rsid w:val="00E25A26"/>
    <w:rsid w:val="00E25D26"/>
    <w:rsid w:val="00E25D90"/>
    <w:rsid w:val="00E2629E"/>
    <w:rsid w:val="00E26518"/>
    <w:rsid w:val="00E2678C"/>
    <w:rsid w:val="00E26997"/>
    <w:rsid w:val="00E26B1E"/>
    <w:rsid w:val="00E26B27"/>
    <w:rsid w:val="00E26B99"/>
    <w:rsid w:val="00E26D30"/>
    <w:rsid w:val="00E271EA"/>
    <w:rsid w:val="00E2737A"/>
    <w:rsid w:val="00E2752D"/>
    <w:rsid w:val="00E276BC"/>
    <w:rsid w:val="00E276C6"/>
    <w:rsid w:val="00E276F1"/>
    <w:rsid w:val="00E27D7A"/>
    <w:rsid w:val="00E27ECF"/>
    <w:rsid w:val="00E27F93"/>
    <w:rsid w:val="00E300C2"/>
    <w:rsid w:val="00E304CD"/>
    <w:rsid w:val="00E3056E"/>
    <w:rsid w:val="00E306C4"/>
    <w:rsid w:val="00E307C2"/>
    <w:rsid w:val="00E308E7"/>
    <w:rsid w:val="00E30C64"/>
    <w:rsid w:val="00E30C7E"/>
    <w:rsid w:val="00E30DEE"/>
    <w:rsid w:val="00E31109"/>
    <w:rsid w:val="00E3113C"/>
    <w:rsid w:val="00E3121E"/>
    <w:rsid w:val="00E31498"/>
    <w:rsid w:val="00E31567"/>
    <w:rsid w:val="00E319E2"/>
    <w:rsid w:val="00E31AE7"/>
    <w:rsid w:val="00E31BC7"/>
    <w:rsid w:val="00E31C33"/>
    <w:rsid w:val="00E31C41"/>
    <w:rsid w:val="00E31C4F"/>
    <w:rsid w:val="00E31EF0"/>
    <w:rsid w:val="00E3236C"/>
    <w:rsid w:val="00E32526"/>
    <w:rsid w:val="00E326F8"/>
    <w:rsid w:val="00E328E9"/>
    <w:rsid w:val="00E32970"/>
    <w:rsid w:val="00E329F8"/>
    <w:rsid w:val="00E32A18"/>
    <w:rsid w:val="00E32A3F"/>
    <w:rsid w:val="00E32AC4"/>
    <w:rsid w:val="00E32CE6"/>
    <w:rsid w:val="00E32DB8"/>
    <w:rsid w:val="00E3314C"/>
    <w:rsid w:val="00E332B4"/>
    <w:rsid w:val="00E33334"/>
    <w:rsid w:val="00E334AB"/>
    <w:rsid w:val="00E3382E"/>
    <w:rsid w:val="00E33AB3"/>
    <w:rsid w:val="00E34227"/>
    <w:rsid w:val="00E3439D"/>
    <w:rsid w:val="00E3456B"/>
    <w:rsid w:val="00E347E0"/>
    <w:rsid w:val="00E34887"/>
    <w:rsid w:val="00E34A3D"/>
    <w:rsid w:val="00E34B70"/>
    <w:rsid w:val="00E34D77"/>
    <w:rsid w:val="00E34F5F"/>
    <w:rsid w:val="00E34FEB"/>
    <w:rsid w:val="00E3512D"/>
    <w:rsid w:val="00E352D1"/>
    <w:rsid w:val="00E35304"/>
    <w:rsid w:val="00E35367"/>
    <w:rsid w:val="00E3540E"/>
    <w:rsid w:val="00E356D1"/>
    <w:rsid w:val="00E357C1"/>
    <w:rsid w:val="00E35EDE"/>
    <w:rsid w:val="00E360D2"/>
    <w:rsid w:val="00E360F4"/>
    <w:rsid w:val="00E361E2"/>
    <w:rsid w:val="00E3629C"/>
    <w:rsid w:val="00E36511"/>
    <w:rsid w:val="00E365B3"/>
    <w:rsid w:val="00E365D0"/>
    <w:rsid w:val="00E36713"/>
    <w:rsid w:val="00E36736"/>
    <w:rsid w:val="00E3674E"/>
    <w:rsid w:val="00E36A3B"/>
    <w:rsid w:val="00E36A4D"/>
    <w:rsid w:val="00E36BAE"/>
    <w:rsid w:val="00E36DB1"/>
    <w:rsid w:val="00E36EE7"/>
    <w:rsid w:val="00E37426"/>
    <w:rsid w:val="00E37483"/>
    <w:rsid w:val="00E37508"/>
    <w:rsid w:val="00E37552"/>
    <w:rsid w:val="00E37655"/>
    <w:rsid w:val="00E37722"/>
    <w:rsid w:val="00E3780C"/>
    <w:rsid w:val="00E37976"/>
    <w:rsid w:val="00E3799C"/>
    <w:rsid w:val="00E37BA5"/>
    <w:rsid w:val="00E37C86"/>
    <w:rsid w:val="00E37EB3"/>
    <w:rsid w:val="00E37ED9"/>
    <w:rsid w:val="00E4008A"/>
    <w:rsid w:val="00E40339"/>
    <w:rsid w:val="00E40463"/>
    <w:rsid w:val="00E4074F"/>
    <w:rsid w:val="00E40C8A"/>
    <w:rsid w:val="00E40E88"/>
    <w:rsid w:val="00E40EE4"/>
    <w:rsid w:val="00E411E8"/>
    <w:rsid w:val="00E41289"/>
    <w:rsid w:val="00E4129E"/>
    <w:rsid w:val="00E41445"/>
    <w:rsid w:val="00E415D5"/>
    <w:rsid w:val="00E416C0"/>
    <w:rsid w:val="00E418A3"/>
    <w:rsid w:val="00E41C32"/>
    <w:rsid w:val="00E4233F"/>
    <w:rsid w:val="00E42381"/>
    <w:rsid w:val="00E428BE"/>
    <w:rsid w:val="00E42CD5"/>
    <w:rsid w:val="00E42E71"/>
    <w:rsid w:val="00E42FA0"/>
    <w:rsid w:val="00E4300E"/>
    <w:rsid w:val="00E430F3"/>
    <w:rsid w:val="00E43149"/>
    <w:rsid w:val="00E43157"/>
    <w:rsid w:val="00E43191"/>
    <w:rsid w:val="00E431D4"/>
    <w:rsid w:val="00E4347D"/>
    <w:rsid w:val="00E43698"/>
    <w:rsid w:val="00E43D1C"/>
    <w:rsid w:val="00E440C1"/>
    <w:rsid w:val="00E44201"/>
    <w:rsid w:val="00E442DD"/>
    <w:rsid w:val="00E447AC"/>
    <w:rsid w:val="00E448F1"/>
    <w:rsid w:val="00E44951"/>
    <w:rsid w:val="00E44971"/>
    <w:rsid w:val="00E44984"/>
    <w:rsid w:val="00E449B0"/>
    <w:rsid w:val="00E44C24"/>
    <w:rsid w:val="00E44D6E"/>
    <w:rsid w:val="00E44EAA"/>
    <w:rsid w:val="00E44EC0"/>
    <w:rsid w:val="00E45178"/>
    <w:rsid w:val="00E453AD"/>
    <w:rsid w:val="00E45763"/>
    <w:rsid w:val="00E45A50"/>
    <w:rsid w:val="00E45A6F"/>
    <w:rsid w:val="00E45AE3"/>
    <w:rsid w:val="00E4651F"/>
    <w:rsid w:val="00E4667D"/>
    <w:rsid w:val="00E466AC"/>
    <w:rsid w:val="00E466CE"/>
    <w:rsid w:val="00E46929"/>
    <w:rsid w:val="00E46B5C"/>
    <w:rsid w:val="00E46C5B"/>
    <w:rsid w:val="00E46D5C"/>
    <w:rsid w:val="00E46D76"/>
    <w:rsid w:val="00E46EF7"/>
    <w:rsid w:val="00E46F8B"/>
    <w:rsid w:val="00E471BC"/>
    <w:rsid w:val="00E471F3"/>
    <w:rsid w:val="00E47237"/>
    <w:rsid w:val="00E47500"/>
    <w:rsid w:val="00E47C1A"/>
    <w:rsid w:val="00E502CD"/>
    <w:rsid w:val="00E504FB"/>
    <w:rsid w:val="00E5052A"/>
    <w:rsid w:val="00E50568"/>
    <w:rsid w:val="00E5062B"/>
    <w:rsid w:val="00E5069E"/>
    <w:rsid w:val="00E5073E"/>
    <w:rsid w:val="00E5096B"/>
    <w:rsid w:val="00E50A61"/>
    <w:rsid w:val="00E50B4E"/>
    <w:rsid w:val="00E50C03"/>
    <w:rsid w:val="00E5113C"/>
    <w:rsid w:val="00E51298"/>
    <w:rsid w:val="00E513F5"/>
    <w:rsid w:val="00E516D8"/>
    <w:rsid w:val="00E51797"/>
    <w:rsid w:val="00E518B8"/>
    <w:rsid w:val="00E51AAB"/>
    <w:rsid w:val="00E51AD7"/>
    <w:rsid w:val="00E51AF8"/>
    <w:rsid w:val="00E51C2B"/>
    <w:rsid w:val="00E51D7E"/>
    <w:rsid w:val="00E51E73"/>
    <w:rsid w:val="00E51F67"/>
    <w:rsid w:val="00E51FB6"/>
    <w:rsid w:val="00E525EA"/>
    <w:rsid w:val="00E5271E"/>
    <w:rsid w:val="00E527A2"/>
    <w:rsid w:val="00E527D7"/>
    <w:rsid w:val="00E52A60"/>
    <w:rsid w:val="00E52A8F"/>
    <w:rsid w:val="00E52B19"/>
    <w:rsid w:val="00E52CB1"/>
    <w:rsid w:val="00E52CED"/>
    <w:rsid w:val="00E52F92"/>
    <w:rsid w:val="00E53544"/>
    <w:rsid w:val="00E536AC"/>
    <w:rsid w:val="00E5387E"/>
    <w:rsid w:val="00E538B5"/>
    <w:rsid w:val="00E53C33"/>
    <w:rsid w:val="00E53F9E"/>
    <w:rsid w:val="00E53FDA"/>
    <w:rsid w:val="00E54251"/>
    <w:rsid w:val="00E54258"/>
    <w:rsid w:val="00E5466A"/>
    <w:rsid w:val="00E54A56"/>
    <w:rsid w:val="00E54C0E"/>
    <w:rsid w:val="00E5503B"/>
    <w:rsid w:val="00E550BF"/>
    <w:rsid w:val="00E55771"/>
    <w:rsid w:val="00E5587E"/>
    <w:rsid w:val="00E559BB"/>
    <w:rsid w:val="00E55B1E"/>
    <w:rsid w:val="00E55D0D"/>
    <w:rsid w:val="00E56148"/>
    <w:rsid w:val="00E56158"/>
    <w:rsid w:val="00E5618D"/>
    <w:rsid w:val="00E56296"/>
    <w:rsid w:val="00E5660C"/>
    <w:rsid w:val="00E5669E"/>
    <w:rsid w:val="00E56A13"/>
    <w:rsid w:val="00E56AA0"/>
    <w:rsid w:val="00E56CAB"/>
    <w:rsid w:val="00E56FCE"/>
    <w:rsid w:val="00E57064"/>
    <w:rsid w:val="00E57125"/>
    <w:rsid w:val="00E57766"/>
    <w:rsid w:val="00E5787C"/>
    <w:rsid w:val="00E57B5E"/>
    <w:rsid w:val="00E57C9C"/>
    <w:rsid w:val="00E57D16"/>
    <w:rsid w:val="00E57E18"/>
    <w:rsid w:val="00E601C5"/>
    <w:rsid w:val="00E60866"/>
    <w:rsid w:val="00E609F5"/>
    <w:rsid w:val="00E60C94"/>
    <w:rsid w:val="00E60F9C"/>
    <w:rsid w:val="00E60F9F"/>
    <w:rsid w:val="00E610A5"/>
    <w:rsid w:val="00E6126D"/>
    <w:rsid w:val="00E61396"/>
    <w:rsid w:val="00E616FE"/>
    <w:rsid w:val="00E61A31"/>
    <w:rsid w:val="00E61AF8"/>
    <w:rsid w:val="00E61B8D"/>
    <w:rsid w:val="00E621A3"/>
    <w:rsid w:val="00E621EF"/>
    <w:rsid w:val="00E62210"/>
    <w:rsid w:val="00E62395"/>
    <w:rsid w:val="00E62406"/>
    <w:rsid w:val="00E62582"/>
    <w:rsid w:val="00E627B7"/>
    <w:rsid w:val="00E628AB"/>
    <w:rsid w:val="00E62A50"/>
    <w:rsid w:val="00E62C44"/>
    <w:rsid w:val="00E62E73"/>
    <w:rsid w:val="00E62ED4"/>
    <w:rsid w:val="00E63029"/>
    <w:rsid w:val="00E63339"/>
    <w:rsid w:val="00E63511"/>
    <w:rsid w:val="00E6366C"/>
    <w:rsid w:val="00E637AF"/>
    <w:rsid w:val="00E637EC"/>
    <w:rsid w:val="00E63F79"/>
    <w:rsid w:val="00E64060"/>
    <w:rsid w:val="00E640EB"/>
    <w:rsid w:val="00E6421E"/>
    <w:rsid w:val="00E6425F"/>
    <w:rsid w:val="00E644D0"/>
    <w:rsid w:val="00E64520"/>
    <w:rsid w:val="00E64539"/>
    <w:rsid w:val="00E6471C"/>
    <w:rsid w:val="00E6487B"/>
    <w:rsid w:val="00E64890"/>
    <w:rsid w:val="00E648EE"/>
    <w:rsid w:val="00E649CC"/>
    <w:rsid w:val="00E64BCD"/>
    <w:rsid w:val="00E64CC7"/>
    <w:rsid w:val="00E64CD1"/>
    <w:rsid w:val="00E64D04"/>
    <w:rsid w:val="00E64D7A"/>
    <w:rsid w:val="00E64EAB"/>
    <w:rsid w:val="00E6524B"/>
    <w:rsid w:val="00E65325"/>
    <w:rsid w:val="00E6552A"/>
    <w:rsid w:val="00E65550"/>
    <w:rsid w:val="00E65732"/>
    <w:rsid w:val="00E65A03"/>
    <w:rsid w:val="00E65DBE"/>
    <w:rsid w:val="00E65FE4"/>
    <w:rsid w:val="00E661AB"/>
    <w:rsid w:val="00E663E9"/>
    <w:rsid w:val="00E66473"/>
    <w:rsid w:val="00E6670D"/>
    <w:rsid w:val="00E667E9"/>
    <w:rsid w:val="00E66842"/>
    <w:rsid w:val="00E668F8"/>
    <w:rsid w:val="00E66927"/>
    <w:rsid w:val="00E66C06"/>
    <w:rsid w:val="00E66E64"/>
    <w:rsid w:val="00E66E74"/>
    <w:rsid w:val="00E67069"/>
    <w:rsid w:val="00E671A8"/>
    <w:rsid w:val="00E671BD"/>
    <w:rsid w:val="00E67258"/>
    <w:rsid w:val="00E67464"/>
    <w:rsid w:val="00E6754B"/>
    <w:rsid w:val="00E6769A"/>
    <w:rsid w:val="00E67775"/>
    <w:rsid w:val="00E67B71"/>
    <w:rsid w:val="00E67CA0"/>
    <w:rsid w:val="00E67CA5"/>
    <w:rsid w:val="00E67D87"/>
    <w:rsid w:val="00E67E5B"/>
    <w:rsid w:val="00E7044B"/>
    <w:rsid w:val="00E70A84"/>
    <w:rsid w:val="00E70CB6"/>
    <w:rsid w:val="00E70F93"/>
    <w:rsid w:val="00E711A0"/>
    <w:rsid w:val="00E71539"/>
    <w:rsid w:val="00E71549"/>
    <w:rsid w:val="00E71573"/>
    <w:rsid w:val="00E715DB"/>
    <w:rsid w:val="00E716A0"/>
    <w:rsid w:val="00E716E8"/>
    <w:rsid w:val="00E7177B"/>
    <w:rsid w:val="00E71906"/>
    <w:rsid w:val="00E71B72"/>
    <w:rsid w:val="00E71B84"/>
    <w:rsid w:val="00E71DDC"/>
    <w:rsid w:val="00E71F96"/>
    <w:rsid w:val="00E721AB"/>
    <w:rsid w:val="00E723EA"/>
    <w:rsid w:val="00E7262E"/>
    <w:rsid w:val="00E72676"/>
    <w:rsid w:val="00E726BD"/>
    <w:rsid w:val="00E72C2F"/>
    <w:rsid w:val="00E7345A"/>
    <w:rsid w:val="00E7351F"/>
    <w:rsid w:val="00E735DC"/>
    <w:rsid w:val="00E73ABD"/>
    <w:rsid w:val="00E73C1A"/>
    <w:rsid w:val="00E73DB3"/>
    <w:rsid w:val="00E73E95"/>
    <w:rsid w:val="00E7400B"/>
    <w:rsid w:val="00E740B6"/>
    <w:rsid w:val="00E7417E"/>
    <w:rsid w:val="00E743C2"/>
    <w:rsid w:val="00E7440F"/>
    <w:rsid w:val="00E74662"/>
    <w:rsid w:val="00E74705"/>
    <w:rsid w:val="00E747A1"/>
    <w:rsid w:val="00E7496C"/>
    <w:rsid w:val="00E74C1D"/>
    <w:rsid w:val="00E7511B"/>
    <w:rsid w:val="00E751F7"/>
    <w:rsid w:val="00E75439"/>
    <w:rsid w:val="00E7558D"/>
    <w:rsid w:val="00E7567C"/>
    <w:rsid w:val="00E75732"/>
    <w:rsid w:val="00E75822"/>
    <w:rsid w:val="00E758E4"/>
    <w:rsid w:val="00E7597F"/>
    <w:rsid w:val="00E75A89"/>
    <w:rsid w:val="00E75B07"/>
    <w:rsid w:val="00E75B8D"/>
    <w:rsid w:val="00E75C30"/>
    <w:rsid w:val="00E75D65"/>
    <w:rsid w:val="00E75EAE"/>
    <w:rsid w:val="00E75EEE"/>
    <w:rsid w:val="00E76185"/>
    <w:rsid w:val="00E76649"/>
    <w:rsid w:val="00E76DC8"/>
    <w:rsid w:val="00E76E75"/>
    <w:rsid w:val="00E76F53"/>
    <w:rsid w:val="00E7712C"/>
    <w:rsid w:val="00E77296"/>
    <w:rsid w:val="00E77589"/>
    <w:rsid w:val="00E77894"/>
    <w:rsid w:val="00E77A22"/>
    <w:rsid w:val="00E8037E"/>
    <w:rsid w:val="00E80420"/>
    <w:rsid w:val="00E80507"/>
    <w:rsid w:val="00E8090D"/>
    <w:rsid w:val="00E80B29"/>
    <w:rsid w:val="00E80B58"/>
    <w:rsid w:val="00E80D9B"/>
    <w:rsid w:val="00E80E2A"/>
    <w:rsid w:val="00E810FC"/>
    <w:rsid w:val="00E81100"/>
    <w:rsid w:val="00E8142E"/>
    <w:rsid w:val="00E814F3"/>
    <w:rsid w:val="00E81918"/>
    <w:rsid w:val="00E819B5"/>
    <w:rsid w:val="00E81C06"/>
    <w:rsid w:val="00E820BD"/>
    <w:rsid w:val="00E8217C"/>
    <w:rsid w:val="00E8228A"/>
    <w:rsid w:val="00E8258D"/>
    <w:rsid w:val="00E827AC"/>
    <w:rsid w:val="00E827CE"/>
    <w:rsid w:val="00E82816"/>
    <w:rsid w:val="00E829AA"/>
    <w:rsid w:val="00E82E7E"/>
    <w:rsid w:val="00E831F2"/>
    <w:rsid w:val="00E835C4"/>
    <w:rsid w:val="00E839DF"/>
    <w:rsid w:val="00E83BA8"/>
    <w:rsid w:val="00E83C70"/>
    <w:rsid w:val="00E83D3D"/>
    <w:rsid w:val="00E83E86"/>
    <w:rsid w:val="00E83FD2"/>
    <w:rsid w:val="00E8417E"/>
    <w:rsid w:val="00E8433B"/>
    <w:rsid w:val="00E84342"/>
    <w:rsid w:val="00E8434F"/>
    <w:rsid w:val="00E843DC"/>
    <w:rsid w:val="00E843F3"/>
    <w:rsid w:val="00E8444F"/>
    <w:rsid w:val="00E844B3"/>
    <w:rsid w:val="00E848FD"/>
    <w:rsid w:val="00E84972"/>
    <w:rsid w:val="00E84C7F"/>
    <w:rsid w:val="00E84D23"/>
    <w:rsid w:val="00E84EAA"/>
    <w:rsid w:val="00E8500A"/>
    <w:rsid w:val="00E85196"/>
    <w:rsid w:val="00E851A4"/>
    <w:rsid w:val="00E851FF"/>
    <w:rsid w:val="00E85204"/>
    <w:rsid w:val="00E852B9"/>
    <w:rsid w:val="00E852D9"/>
    <w:rsid w:val="00E8554E"/>
    <w:rsid w:val="00E856F7"/>
    <w:rsid w:val="00E85833"/>
    <w:rsid w:val="00E8613F"/>
    <w:rsid w:val="00E861E5"/>
    <w:rsid w:val="00E86418"/>
    <w:rsid w:val="00E8663C"/>
    <w:rsid w:val="00E86BC2"/>
    <w:rsid w:val="00E86F0A"/>
    <w:rsid w:val="00E86F71"/>
    <w:rsid w:val="00E872F1"/>
    <w:rsid w:val="00E876ED"/>
    <w:rsid w:val="00E87737"/>
    <w:rsid w:val="00E87746"/>
    <w:rsid w:val="00E879D4"/>
    <w:rsid w:val="00E87C0E"/>
    <w:rsid w:val="00E87E3B"/>
    <w:rsid w:val="00E901CE"/>
    <w:rsid w:val="00E9056D"/>
    <w:rsid w:val="00E905EF"/>
    <w:rsid w:val="00E907D7"/>
    <w:rsid w:val="00E90CF6"/>
    <w:rsid w:val="00E90DAA"/>
    <w:rsid w:val="00E90E97"/>
    <w:rsid w:val="00E910FA"/>
    <w:rsid w:val="00E912D0"/>
    <w:rsid w:val="00E912EA"/>
    <w:rsid w:val="00E916F0"/>
    <w:rsid w:val="00E918DE"/>
    <w:rsid w:val="00E91D95"/>
    <w:rsid w:val="00E91DA2"/>
    <w:rsid w:val="00E91E22"/>
    <w:rsid w:val="00E91E93"/>
    <w:rsid w:val="00E920B0"/>
    <w:rsid w:val="00E920D8"/>
    <w:rsid w:val="00E9257B"/>
    <w:rsid w:val="00E927B3"/>
    <w:rsid w:val="00E92FD4"/>
    <w:rsid w:val="00E93376"/>
    <w:rsid w:val="00E93415"/>
    <w:rsid w:val="00E934A1"/>
    <w:rsid w:val="00E939AE"/>
    <w:rsid w:val="00E939C8"/>
    <w:rsid w:val="00E93A78"/>
    <w:rsid w:val="00E93AB4"/>
    <w:rsid w:val="00E93B12"/>
    <w:rsid w:val="00E93BE7"/>
    <w:rsid w:val="00E93C30"/>
    <w:rsid w:val="00E93C88"/>
    <w:rsid w:val="00E93D2C"/>
    <w:rsid w:val="00E941BC"/>
    <w:rsid w:val="00E94282"/>
    <w:rsid w:val="00E942B0"/>
    <w:rsid w:val="00E9485D"/>
    <w:rsid w:val="00E94B11"/>
    <w:rsid w:val="00E94D7F"/>
    <w:rsid w:val="00E94DA4"/>
    <w:rsid w:val="00E94E26"/>
    <w:rsid w:val="00E952C2"/>
    <w:rsid w:val="00E9535E"/>
    <w:rsid w:val="00E95375"/>
    <w:rsid w:val="00E9549F"/>
    <w:rsid w:val="00E95500"/>
    <w:rsid w:val="00E95AAD"/>
    <w:rsid w:val="00E95B71"/>
    <w:rsid w:val="00E95B9C"/>
    <w:rsid w:val="00E95CB7"/>
    <w:rsid w:val="00E95D56"/>
    <w:rsid w:val="00E95DB4"/>
    <w:rsid w:val="00E95DE0"/>
    <w:rsid w:val="00E95E10"/>
    <w:rsid w:val="00E962E9"/>
    <w:rsid w:val="00E9645A"/>
    <w:rsid w:val="00E9668E"/>
    <w:rsid w:val="00E966DB"/>
    <w:rsid w:val="00E96755"/>
    <w:rsid w:val="00E96AE1"/>
    <w:rsid w:val="00E96B9D"/>
    <w:rsid w:val="00E96F45"/>
    <w:rsid w:val="00E96FA8"/>
    <w:rsid w:val="00E971FD"/>
    <w:rsid w:val="00E97392"/>
    <w:rsid w:val="00E973DF"/>
    <w:rsid w:val="00E97636"/>
    <w:rsid w:val="00E97725"/>
    <w:rsid w:val="00E97912"/>
    <w:rsid w:val="00E97C0B"/>
    <w:rsid w:val="00E97E5F"/>
    <w:rsid w:val="00E97F4E"/>
    <w:rsid w:val="00EA005D"/>
    <w:rsid w:val="00EA00E4"/>
    <w:rsid w:val="00EA0104"/>
    <w:rsid w:val="00EA01B9"/>
    <w:rsid w:val="00EA01F2"/>
    <w:rsid w:val="00EA057A"/>
    <w:rsid w:val="00EA069A"/>
    <w:rsid w:val="00EA07B5"/>
    <w:rsid w:val="00EA07BB"/>
    <w:rsid w:val="00EA08CB"/>
    <w:rsid w:val="00EA12B6"/>
    <w:rsid w:val="00EA1317"/>
    <w:rsid w:val="00EA13B2"/>
    <w:rsid w:val="00EA13C0"/>
    <w:rsid w:val="00EA1424"/>
    <w:rsid w:val="00EA14EB"/>
    <w:rsid w:val="00EA1667"/>
    <w:rsid w:val="00EA182C"/>
    <w:rsid w:val="00EA18CF"/>
    <w:rsid w:val="00EA1988"/>
    <w:rsid w:val="00EA19D5"/>
    <w:rsid w:val="00EA1AE9"/>
    <w:rsid w:val="00EA1CF4"/>
    <w:rsid w:val="00EA1F1C"/>
    <w:rsid w:val="00EA24CB"/>
    <w:rsid w:val="00EA2598"/>
    <w:rsid w:val="00EA29D5"/>
    <w:rsid w:val="00EA29E7"/>
    <w:rsid w:val="00EA2D9F"/>
    <w:rsid w:val="00EA2E6E"/>
    <w:rsid w:val="00EA2E80"/>
    <w:rsid w:val="00EA2F5C"/>
    <w:rsid w:val="00EA2F8E"/>
    <w:rsid w:val="00EA2FBF"/>
    <w:rsid w:val="00EA2FCA"/>
    <w:rsid w:val="00EA2FF0"/>
    <w:rsid w:val="00EA314A"/>
    <w:rsid w:val="00EA316B"/>
    <w:rsid w:val="00EA3352"/>
    <w:rsid w:val="00EA3361"/>
    <w:rsid w:val="00EA372D"/>
    <w:rsid w:val="00EA37DF"/>
    <w:rsid w:val="00EA3811"/>
    <w:rsid w:val="00EA39FE"/>
    <w:rsid w:val="00EA3A5F"/>
    <w:rsid w:val="00EA3AEB"/>
    <w:rsid w:val="00EA3BB5"/>
    <w:rsid w:val="00EA3E11"/>
    <w:rsid w:val="00EA4375"/>
    <w:rsid w:val="00EA46DD"/>
    <w:rsid w:val="00EA476D"/>
    <w:rsid w:val="00EA477E"/>
    <w:rsid w:val="00EA49ED"/>
    <w:rsid w:val="00EA4AF6"/>
    <w:rsid w:val="00EA4C29"/>
    <w:rsid w:val="00EA4D18"/>
    <w:rsid w:val="00EA516E"/>
    <w:rsid w:val="00EA51C2"/>
    <w:rsid w:val="00EA51DC"/>
    <w:rsid w:val="00EA526F"/>
    <w:rsid w:val="00EA592A"/>
    <w:rsid w:val="00EA5A3A"/>
    <w:rsid w:val="00EA5DFC"/>
    <w:rsid w:val="00EA5EE2"/>
    <w:rsid w:val="00EA6421"/>
    <w:rsid w:val="00EA66B0"/>
    <w:rsid w:val="00EA68FF"/>
    <w:rsid w:val="00EA6917"/>
    <w:rsid w:val="00EA698A"/>
    <w:rsid w:val="00EA6D45"/>
    <w:rsid w:val="00EA6DF2"/>
    <w:rsid w:val="00EA7295"/>
    <w:rsid w:val="00EA7394"/>
    <w:rsid w:val="00EA7683"/>
    <w:rsid w:val="00EA7703"/>
    <w:rsid w:val="00EA7776"/>
    <w:rsid w:val="00EA77D7"/>
    <w:rsid w:val="00EA78D6"/>
    <w:rsid w:val="00EA7B72"/>
    <w:rsid w:val="00EA7C7D"/>
    <w:rsid w:val="00EA7D49"/>
    <w:rsid w:val="00EA7D82"/>
    <w:rsid w:val="00EA7E48"/>
    <w:rsid w:val="00EA7F72"/>
    <w:rsid w:val="00EA7FA1"/>
    <w:rsid w:val="00EB0229"/>
    <w:rsid w:val="00EB035A"/>
    <w:rsid w:val="00EB03C7"/>
    <w:rsid w:val="00EB03DF"/>
    <w:rsid w:val="00EB0436"/>
    <w:rsid w:val="00EB0523"/>
    <w:rsid w:val="00EB07BF"/>
    <w:rsid w:val="00EB0854"/>
    <w:rsid w:val="00EB0924"/>
    <w:rsid w:val="00EB0A1B"/>
    <w:rsid w:val="00EB0B8B"/>
    <w:rsid w:val="00EB0E05"/>
    <w:rsid w:val="00EB0FC9"/>
    <w:rsid w:val="00EB10DA"/>
    <w:rsid w:val="00EB13B6"/>
    <w:rsid w:val="00EB14CF"/>
    <w:rsid w:val="00EB1778"/>
    <w:rsid w:val="00EB1AE0"/>
    <w:rsid w:val="00EB1E8E"/>
    <w:rsid w:val="00EB2000"/>
    <w:rsid w:val="00EB20ED"/>
    <w:rsid w:val="00EB2330"/>
    <w:rsid w:val="00EB25BC"/>
    <w:rsid w:val="00EB268E"/>
    <w:rsid w:val="00EB316C"/>
    <w:rsid w:val="00EB35DB"/>
    <w:rsid w:val="00EB37FD"/>
    <w:rsid w:val="00EB382B"/>
    <w:rsid w:val="00EB389D"/>
    <w:rsid w:val="00EB3989"/>
    <w:rsid w:val="00EB3CB7"/>
    <w:rsid w:val="00EB40D4"/>
    <w:rsid w:val="00EB40E8"/>
    <w:rsid w:val="00EB4276"/>
    <w:rsid w:val="00EB43A8"/>
    <w:rsid w:val="00EB440F"/>
    <w:rsid w:val="00EB466F"/>
    <w:rsid w:val="00EB47A6"/>
    <w:rsid w:val="00EB4858"/>
    <w:rsid w:val="00EB4B8D"/>
    <w:rsid w:val="00EB503F"/>
    <w:rsid w:val="00EB5376"/>
    <w:rsid w:val="00EB5A9D"/>
    <w:rsid w:val="00EB5FB3"/>
    <w:rsid w:val="00EB6179"/>
    <w:rsid w:val="00EB61F5"/>
    <w:rsid w:val="00EB62C8"/>
    <w:rsid w:val="00EB657C"/>
    <w:rsid w:val="00EB6845"/>
    <w:rsid w:val="00EB69A6"/>
    <w:rsid w:val="00EB6E8E"/>
    <w:rsid w:val="00EB6F9A"/>
    <w:rsid w:val="00EB6FCB"/>
    <w:rsid w:val="00EB7016"/>
    <w:rsid w:val="00EB7146"/>
    <w:rsid w:val="00EB769F"/>
    <w:rsid w:val="00EB7CCB"/>
    <w:rsid w:val="00EC016A"/>
    <w:rsid w:val="00EC0308"/>
    <w:rsid w:val="00EC0901"/>
    <w:rsid w:val="00EC0A1E"/>
    <w:rsid w:val="00EC0C21"/>
    <w:rsid w:val="00EC0C58"/>
    <w:rsid w:val="00EC0CAD"/>
    <w:rsid w:val="00EC0CD4"/>
    <w:rsid w:val="00EC0F7E"/>
    <w:rsid w:val="00EC1167"/>
    <w:rsid w:val="00EC1345"/>
    <w:rsid w:val="00EC1453"/>
    <w:rsid w:val="00EC147A"/>
    <w:rsid w:val="00EC186B"/>
    <w:rsid w:val="00EC19DA"/>
    <w:rsid w:val="00EC1DB3"/>
    <w:rsid w:val="00EC1FAF"/>
    <w:rsid w:val="00EC20AB"/>
    <w:rsid w:val="00EC2115"/>
    <w:rsid w:val="00EC24A8"/>
    <w:rsid w:val="00EC2616"/>
    <w:rsid w:val="00EC28EE"/>
    <w:rsid w:val="00EC290C"/>
    <w:rsid w:val="00EC29F6"/>
    <w:rsid w:val="00EC2AD3"/>
    <w:rsid w:val="00EC2C6F"/>
    <w:rsid w:val="00EC2DC1"/>
    <w:rsid w:val="00EC2FA3"/>
    <w:rsid w:val="00EC3253"/>
    <w:rsid w:val="00EC32CA"/>
    <w:rsid w:val="00EC3355"/>
    <w:rsid w:val="00EC33C5"/>
    <w:rsid w:val="00EC39A6"/>
    <w:rsid w:val="00EC3BEB"/>
    <w:rsid w:val="00EC3C41"/>
    <w:rsid w:val="00EC3F90"/>
    <w:rsid w:val="00EC46D4"/>
    <w:rsid w:val="00EC4987"/>
    <w:rsid w:val="00EC4AB6"/>
    <w:rsid w:val="00EC4BA9"/>
    <w:rsid w:val="00EC4D41"/>
    <w:rsid w:val="00EC4F67"/>
    <w:rsid w:val="00EC4F7D"/>
    <w:rsid w:val="00EC4FF3"/>
    <w:rsid w:val="00EC500F"/>
    <w:rsid w:val="00EC50C3"/>
    <w:rsid w:val="00EC50D7"/>
    <w:rsid w:val="00EC5259"/>
    <w:rsid w:val="00EC5274"/>
    <w:rsid w:val="00EC56F4"/>
    <w:rsid w:val="00EC5C3A"/>
    <w:rsid w:val="00EC5E2A"/>
    <w:rsid w:val="00EC5FC7"/>
    <w:rsid w:val="00EC6019"/>
    <w:rsid w:val="00EC65F6"/>
    <w:rsid w:val="00EC6696"/>
    <w:rsid w:val="00EC68C7"/>
    <w:rsid w:val="00EC69B6"/>
    <w:rsid w:val="00EC6A83"/>
    <w:rsid w:val="00EC6B57"/>
    <w:rsid w:val="00EC6C23"/>
    <w:rsid w:val="00EC6CC9"/>
    <w:rsid w:val="00EC6CEE"/>
    <w:rsid w:val="00EC7123"/>
    <w:rsid w:val="00EC7521"/>
    <w:rsid w:val="00EC75F1"/>
    <w:rsid w:val="00EC7767"/>
    <w:rsid w:val="00EC792C"/>
    <w:rsid w:val="00EC7995"/>
    <w:rsid w:val="00EC7A71"/>
    <w:rsid w:val="00EC7B96"/>
    <w:rsid w:val="00EC7FED"/>
    <w:rsid w:val="00ED00B2"/>
    <w:rsid w:val="00ED035D"/>
    <w:rsid w:val="00ED03EB"/>
    <w:rsid w:val="00ED03FC"/>
    <w:rsid w:val="00ED0402"/>
    <w:rsid w:val="00ED047C"/>
    <w:rsid w:val="00ED05AD"/>
    <w:rsid w:val="00ED08AA"/>
    <w:rsid w:val="00ED0D0A"/>
    <w:rsid w:val="00ED10CB"/>
    <w:rsid w:val="00ED12A1"/>
    <w:rsid w:val="00ED16BE"/>
    <w:rsid w:val="00ED1EB4"/>
    <w:rsid w:val="00ED1F01"/>
    <w:rsid w:val="00ED1F7B"/>
    <w:rsid w:val="00ED2081"/>
    <w:rsid w:val="00ED2135"/>
    <w:rsid w:val="00ED22B5"/>
    <w:rsid w:val="00ED2406"/>
    <w:rsid w:val="00ED271D"/>
    <w:rsid w:val="00ED2834"/>
    <w:rsid w:val="00ED29A6"/>
    <w:rsid w:val="00ED2ADD"/>
    <w:rsid w:val="00ED2C29"/>
    <w:rsid w:val="00ED3064"/>
    <w:rsid w:val="00ED3081"/>
    <w:rsid w:val="00ED3278"/>
    <w:rsid w:val="00ED34B2"/>
    <w:rsid w:val="00ED352A"/>
    <w:rsid w:val="00ED35C4"/>
    <w:rsid w:val="00ED374E"/>
    <w:rsid w:val="00ED39E5"/>
    <w:rsid w:val="00ED3A8B"/>
    <w:rsid w:val="00ED3CC3"/>
    <w:rsid w:val="00ED3DCB"/>
    <w:rsid w:val="00ED42AB"/>
    <w:rsid w:val="00ED42D8"/>
    <w:rsid w:val="00ED4408"/>
    <w:rsid w:val="00ED4460"/>
    <w:rsid w:val="00ED4583"/>
    <w:rsid w:val="00ED4B46"/>
    <w:rsid w:val="00ED4BE1"/>
    <w:rsid w:val="00ED4C50"/>
    <w:rsid w:val="00ED4F7D"/>
    <w:rsid w:val="00ED500A"/>
    <w:rsid w:val="00ED5417"/>
    <w:rsid w:val="00ED56F4"/>
    <w:rsid w:val="00ED5842"/>
    <w:rsid w:val="00ED5912"/>
    <w:rsid w:val="00ED591D"/>
    <w:rsid w:val="00ED5DC2"/>
    <w:rsid w:val="00ED5DD3"/>
    <w:rsid w:val="00ED5E12"/>
    <w:rsid w:val="00ED5E2D"/>
    <w:rsid w:val="00ED5F55"/>
    <w:rsid w:val="00ED60BC"/>
    <w:rsid w:val="00ED629B"/>
    <w:rsid w:val="00ED6418"/>
    <w:rsid w:val="00ED64DE"/>
    <w:rsid w:val="00ED678A"/>
    <w:rsid w:val="00ED6948"/>
    <w:rsid w:val="00ED69D4"/>
    <w:rsid w:val="00ED6B5A"/>
    <w:rsid w:val="00ED6F2B"/>
    <w:rsid w:val="00ED7000"/>
    <w:rsid w:val="00ED70BD"/>
    <w:rsid w:val="00ED7535"/>
    <w:rsid w:val="00ED7672"/>
    <w:rsid w:val="00ED7768"/>
    <w:rsid w:val="00ED7891"/>
    <w:rsid w:val="00ED7943"/>
    <w:rsid w:val="00ED7CFB"/>
    <w:rsid w:val="00ED7E7F"/>
    <w:rsid w:val="00EE008B"/>
    <w:rsid w:val="00EE0262"/>
    <w:rsid w:val="00EE042F"/>
    <w:rsid w:val="00EE07F1"/>
    <w:rsid w:val="00EE0847"/>
    <w:rsid w:val="00EE0860"/>
    <w:rsid w:val="00EE09DC"/>
    <w:rsid w:val="00EE0AB6"/>
    <w:rsid w:val="00EE0C25"/>
    <w:rsid w:val="00EE13FD"/>
    <w:rsid w:val="00EE1676"/>
    <w:rsid w:val="00EE168D"/>
    <w:rsid w:val="00EE16B0"/>
    <w:rsid w:val="00EE16C9"/>
    <w:rsid w:val="00EE1725"/>
    <w:rsid w:val="00EE1729"/>
    <w:rsid w:val="00EE1739"/>
    <w:rsid w:val="00EE197B"/>
    <w:rsid w:val="00EE1A45"/>
    <w:rsid w:val="00EE1B7E"/>
    <w:rsid w:val="00EE1C9E"/>
    <w:rsid w:val="00EE1DBE"/>
    <w:rsid w:val="00EE1F1D"/>
    <w:rsid w:val="00EE21BB"/>
    <w:rsid w:val="00EE2305"/>
    <w:rsid w:val="00EE23AD"/>
    <w:rsid w:val="00EE2455"/>
    <w:rsid w:val="00EE2899"/>
    <w:rsid w:val="00EE2B4C"/>
    <w:rsid w:val="00EE2EA4"/>
    <w:rsid w:val="00EE3044"/>
    <w:rsid w:val="00EE3143"/>
    <w:rsid w:val="00EE31CC"/>
    <w:rsid w:val="00EE363A"/>
    <w:rsid w:val="00EE363F"/>
    <w:rsid w:val="00EE375E"/>
    <w:rsid w:val="00EE37A3"/>
    <w:rsid w:val="00EE396C"/>
    <w:rsid w:val="00EE3BD8"/>
    <w:rsid w:val="00EE3C09"/>
    <w:rsid w:val="00EE3C0E"/>
    <w:rsid w:val="00EE3C1C"/>
    <w:rsid w:val="00EE3C50"/>
    <w:rsid w:val="00EE3D6A"/>
    <w:rsid w:val="00EE42EB"/>
    <w:rsid w:val="00EE47A7"/>
    <w:rsid w:val="00EE4B3B"/>
    <w:rsid w:val="00EE4CA9"/>
    <w:rsid w:val="00EE4EF4"/>
    <w:rsid w:val="00EE4F5E"/>
    <w:rsid w:val="00EE4FC7"/>
    <w:rsid w:val="00EE50D3"/>
    <w:rsid w:val="00EE5256"/>
    <w:rsid w:val="00EE580D"/>
    <w:rsid w:val="00EE5B01"/>
    <w:rsid w:val="00EE5B3F"/>
    <w:rsid w:val="00EE5ED1"/>
    <w:rsid w:val="00EE61A8"/>
    <w:rsid w:val="00EE647A"/>
    <w:rsid w:val="00EE675D"/>
    <w:rsid w:val="00EE6C00"/>
    <w:rsid w:val="00EE6E7E"/>
    <w:rsid w:val="00EE713D"/>
    <w:rsid w:val="00EE71B3"/>
    <w:rsid w:val="00EE72F2"/>
    <w:rsid w:val="00EE7AC4"/>
    <w:rsid w:val="00EE7AEA"/>
    <w:rsid w:val="00EE7B72"/>
    <w:rsid w:val="00EE7D90"/>
    <w:rsid w:val="00EE7F8E"/>
    <w:rsid w:val="00EF04B5"/>
    <w:rsid w:val="00EF07E3"/>
    <w:rsid w:val="00EF0951"/>
    <w:rsid w:val="00EF09F2"/>
    <w:rsid w:val="00EF0A1A"/>
    <w:rsid w:val="00EF0B4B"/>
    <w:rsid w:val="00EF0BAC"/>
    <w:rsid w:val="00EF103D"/>
    <w:rsid w:val="00EF10B1"/>
    <w:rsid w:val="00EF1163"/>
    <w:rsid w:val="00EF1235"/>
    <w:rsid w:val="00EF1257"/>
    <w:rsid w:val="00EF136C"/>
    <w:rsid w:val="00EF1517"/>
    <w:rsid w:val="00EF16A8"/>
    <w:rsid w:val="00EF17D4"/>
    <w:rsid w:val="00EF18E7"/>
    <w:rsid w:val="00EF193C"/>
    <w:rsid w:val="00EF1A45"/>
    <w:rsid w:val="00EF1DC2"/>
    <w:rsid w:val="00EF2189"/>
    <w:rsid w:val="00EF225C"/>
    <w:rsid w:val="00EF26DD"/>
    <w:rsid w:val="00EF27D9"/>
    <w:rsid w:val="00EF2AA0"/>
    <w:rsid w:val="00EF3075"/>
    <w:rsid w:val="00EF31EE"/>
    <w:rsid w:val="00EF327D"/>
    <w:rsid w:val="00EF373C"/>
    <w:rsid w:val="00EF380C"/>
    <w:rsid w:val="00EF3B00"/>
    <w:rsid w:val="00EF3F1A"/>
    <w:rsid w:val="00EF4005"/>
    <w:rsid w:val="00EF431C"/>
    <w:rsid w:val="00EF4442"/>
    <w:rsid w:val="00EF4576"/>
    <w:rsid w:val="00EF487C"/>
    <w:rsid w:val="00EF4A21"/>
    <w:rsid w:val="00EF4A9B"/>
    <w:rsid w:val="00EF5025"/>
    <w:rsid w:val="00EF50F3"/>
    <w:rsid w:val="00EF5141"/>
    <w:rsid w:val="00EF53BA"/>
    <w:rsid w:val="00EF5423"/>
    <w:rsid w:val="00EF562A"/>
    <w:rsid w:val="00EF58F2"/>
    <w:rsid w:val="00EF597F"/>
    <w:rsid w:val="00EF5B35"/>
    <w:rsid w:val="00EF5B7E"/>
    <w:rsid w:val="00EF5F93"/>
    <w:rsid w:val="00EF6052"/>
    <w:rsid w:val="00EF61B5"/>
    <w:rsid w:val="00EF620D"/>
    <w:rsid w:val="00EF6532"/>
    <w:rsid w:val="00EF6886"/>
    <w:rsid w:val="00EF6D8A"/>
    <w:rsid w:val="00EF70BB"/>
    <w:rsid w:val="00EF73D2"/>
    <w:rsid w:val="00EF770C"/>
    <w:rsid w:val="00EF776C"/>
    <w:rsid w:val="00EF7836"/>
    <w:rsid w:val="00EF7C80"/>
    <w:rsid w:val="00EF7DC5"/>
    <w:rsid w:val="00F00198"/>
    <w:rsid w:val="00F001F1"/>
    <w:rsid w:val="00F003C5"/>
    <w:rsid w:val="00F006B0"/>
    <w:rsid w:val="00F006E3"/>
    <w:rsid w:val="00F008A6"/>
    <w:rsid w:val="00F00B56"/>
    <w:rsid w:val="00F00CDF"/>
    <w:rsid w:val="00F00E4E"/>
    <w:rsid w:val="00F00FCD"/>
    <w:rsid w:val="00F01011"/>
    <w:rsid w:val="00F01160"/>
    <w:rsid w:val="00F01169"/>
    <w:rsid w:val="00F01291"/>
    <w:rsid w:val="00F01330"/>
    <w:rsid w:val="00F0145E"/>
    <w:rsid w:val="00F017D6"/>
    <w:rsid w:val="00F01899"/>
    <w:rsid w:val="00F018EF"/>
    <w:rsid w:val="00F019D6"/>
    <w:rsid w:val="00F019DD"/>
    <w:rsid w:val="00F01A8F"/>
    <w:rsid w:val="00F01BEB"/>
    <w:rsid w:val="00F01CCA"/>
    <w:rsid w:val="00F01CFB"/>
    <w:rsid w:val="00F01E5F"/>
    <w:rsid w:val="00F0201F"/>
    <w:rsid w:val="00F020A3"/>
    <w:rsid w:val="00F0260C"/>
    <w:rsid w:val="00F02717"/>
    <w:rsid w:val="00F027CD"/>
    <w:rsid w:val="00F02C07"/>
    <w:rsid w:val="00F02CE1"/>
    <w:rsid w:val="00F02E13"/>
    <w:rsid w:val="00F02FC8"/>
    <w:rsid w:val="00F02FE2"/>
    <w:rsid w:val="00F033EB"/>
    <w:rsid w:val="00F03561"/>
    <w:rsid w:val="00F037AF"/>
    <w:rsid w:val="00F03815"/>
    <w:rsid w:val="00F03953"/>
    <w:rsid w:val="00F03AA5"/>
    <w:rsid w:val="00F03AC9"/>
    <w:rsid w:val="00F03C24"/>
    <w:rsid w:val="00F03EEE"/>
    <w:rsid w:val="00F0404D"/>
    <w:rsid w:val="00F04121"/>
    <w:rsid w:val="00F04234"/>
    <w:rsid w:val="00F04399"/>
    <w:rsid w:val="00F044E7"/>
    <w:rsid w:val="00F04980"/>
    <w:rsid w:val="00F04BB8"/>
    <w:rsid w:val="00F04E86"/>
    <w:rsid w:val="00F051D8"/>
    <w:rsid w:val="00F05228"/>
    <w:rsid w:val="00F053FC"/>
    <w:rsid w:val="00F054DB"/>
    <w:rsid w:val="00F05697"/>
    <w:rsid w:val="00F05AB8"/>
    <w:rsid w:val="00F05C16"/>
    <w:rsid w:val="00F05CFF"/>
    <w:rsid w:val="00F05FB0"/>
    <w:rsid w:val="00F0608C"/>
    <w:rsid w:val="00F0629E"/>
    <w:rsid w:val="00F063D7"/>
    <w:rsid w:val="00F064DC"/>
    <w:rsid w:val="00F06514"/>
    <w:rsid w:val="00F065B1"/>
    <w:rsid w:val="00F0692E"/>
    <w:rsid w:val="00F06B29"/>
    <w:rsid w:val="00F06D31"/>
    <w:rsid w:val="00F06D60"/>
    <w:rsid w:val="00F071AE"/>
    <w:rsid w:val="00F073BE"/>
    <w:rsid w:val="00F074B2"/>
    <w:rsid w:val="00F076CB"/>
    <w:rsid w:val="00F076E3"/>
    <w:rsid w:val="00F077C9"/>
    <w:rsid w:val="00F07DBA"/>
    <w:rsid w:val="00F10221"/>
    <w:rsid w:val="00F10712"/>
    <w:rsid w:val="00F10A61"/>
    <w:rsid w:val="00F10DA5"/>
    <w:rsid w:val="00F110D5"/>
    <w:rsid w:val="00F1121A"/>
    <w:rsid w:val="00F11314"/>
    <w:rsid w:val="00F11516"/>
    <w:rsid w:val="00F11AFD"/>
    <w:rsid w:val="00F11C22"/>
    <w:rsid w:val="00F11CBB"/>
    <w:rsid w:val="00F11E2D"/>
    <w:rsid w:val="00F11F4A"/>
    <w:rsid w:val="00F11F56"/>
    <w:rsid w:val="00F122D9"/>
    <w:rsid w:val="00F12499"/>
    <w:rsid w:val="00F127AC"/>
    <w:rsid w:val="00F12BF8"/>
    <w:rsid w:val="00F12C30"/>
    <w:rsid w:val="00F12F79"/>
    <w:rsid w:val="00F130D7"/>
    <w:rsid w:val="00F133FB"/>
    <w:rsid w:val="00F1349E"/>
    <w:rsid w:val="00F13546"/>
    <w:rsid w:val="00F1369C"/>
    <w:rsid w:val="00F138A6"/>
    <w:rsid w:val="00F13971"/>
    <w:rsid w:val="00F139A4"/>
    <w:rsid w:val="00F13B00"/>
    <w:rsid w:val="00F13B44"/>
    <w:rsid w:val="00F13BB8"/>
    <w:rsid w:val="00F13F92"/>
    <w:rsid w:val="00F1414D"/>
    <w:rsid w:val="00F1427E"/>
    <w:rsid w:val="00F143F3"/>
    <w:rsid w:val="00F14525"/>
    <w:rsid w:val="00F14744"/>
    <w:rsid w:val="00F148E5"/>
    <w:rsid w:val="00F1491B"/>
    <w:rsid w:val="00F1493B"/>
    <w:rsid w:val="00F14C04"/>
    <w:rsid w:val="00F14D00"/>
    <w:rsid w:val="00F14ECC"/>
    <w:rsid w:val="00F14EE4"/>
    <w:rsid w:val="00F14FB5"/>
    <w:rsid w:val="00F1511A"/>
    <w:rsid w:val="00F151C6"/>
    <w:rsid w:val="00F151FD"/>
    <w:rsid w:val="00F15379"/>
    <w:rsid w:val="00F15543"/>
    <w:rsid w:val="00F1563F"/>
    <w:rsid w:val="00F157F6"/>
    <w:rsid w:val="00F158F8"/>
    <w:rsid w:val="00F15A83"/>
    <w:rsid w:val="00F15D6A"/>
    <w:rsid w:val="00F1620B"/>
    <w:rsid w:val="00F165AA"/>
    <w:rsid w:val="00F1664E"/>
    <w:rsid w:val="00F167E3"/>
    <w:rsid w:val="00F16ABD"/>
    <w:rsid w:val="00F16C96"/>
    <w:rsid w:val="00F16CE7"/>
    <w:rsid w:val="00F16DB5"/>
    <w:rsid w:val="00F16E58"/>
    <w:rsid w:val="00F170F0"/>
    <w:rsid w:val="00F17231"/>
    <w:rsid w:val="00F17270"/>
    <w:rsid w:val="00F1738D"/>
    <w:rsid w:val="00F17570"/>
    <w:rsid w:val="00F17794"/>
    <w:rsid w:val="00F1785C"/>
    <w:rsid w:val="00F17A62"/>
    <w:rsid w:val="00F17A87"/>
    <w:rsid w:val="00F17B40"/>
    <w:rsid w:val="00F17BB9"/>
    <w:rsid w:val="00F17FAF"/>
    <w:rsid w:val="00F17FBF"/>
    <w:rsid w:val="00F201C0"/>
    <w:rsid w:val="00F206F6"/>
    <w:rsid w:val="00F20735"/>
    <w:rsid w:val="00F207BB"/>
    <w:rsid w:val="00F209B7"/>
    <w:rsid w:val="00F20B41"/>
    <w:rsid w:val="00F20B6D"/>
    <w:rsid w:val="00F20D28"/>
    <w:rsid w:val="00F20FE2"/>
    <w:rsid w:val="00F21105"/>
    <w:rsid w:val="00F21733"/>
    <w:rsid w:val="00F21788"/>
    <w:rsid w:val="00F218A8"/>
    <w:rsid w:val="00F21AB8"/>
    <w:rsid w:val="00F21F63"/>
    <w:rsid w:val="00F21F93"/>
    <w:rsid w:val="00F221C0"/>
    <w:rsid w:val="00F223CD"/>
    <w:rsid w:val="00F22532"/>
    <w:rsid w:val="00F2278C"/>
    <w:rsid w:val="00F2280A"/>
    <w:rsid w:val="00F22A1D"/>
    <w:rsid w:val="00F22CB2"/>
    <w:rsid w:val="00F22DCB"/>
    <w:rsid w:val="00F2322F"/>
    <w:rsid w:val="00F23414"/>
    <w:rsid w:val="00F234DE"/>
    <w:rsid w:val="00F23783"/>
    <w:rsid w:val="00F23A96"/>
    <w:rsid w:val="00F23B0B"/>
    <w:rsid w:val="00F23D09"/>
    <w:rsid w:val="00F23E0F"/>
    <w:rsid w:val="00F24220"/>
    <w:rsid w:val="00F2435E"/>
    <w:rsid w:val="00F24375"/>
    <w:rsid w:val="00F243E5"/>
    <w:rsid w:val="00F24543"/>
    <w:rsid w:val="00F2470D"/>
    <w:rsid w:val="00F2477B"/>
    <w:rsid w:val="00F24834"/>
    <w:rsid w:val="00F2483E"/>
    <w:rsid w:val="00F24954"/>
    <w:rsid w:val="00F24EA5"/>
    <w:rsid w:val="00F24EC4"/>
    <w:rsid w:val="00F24F34"/>
    <w:rsid w:val="00F250EB"/>
    <w:rsid w:val="00F2510E"/>
    <w:rsid w:val="00F2565A"/>
    <w:rsid w:val="00F25728"/>
    <w:rsid w:val="00F25A44"/>
    <w:rsid w:val="00F25D13"/>
    <w:rsid w:val="00F25EC6"/>
    <w:rsid w:val="00F25F23"/>
    <w:rsid w:val="00F25FCE"/>
    <w:rsid w:val="00F26968"/>
    <w:rsid w:val="00F26A8C"/>
    <w:rsid w:val="00F26AE4"/>
    <w:rsid w:val="00F26D51"/>
    <w:rsid w:val="00F27107"/>
    <w:rsid w:val="00F2711A"/>
    <w:rsid w:val="00F272B5"/>
    <w:rsid w:val="00F274E6"/>
    <w:rsid w:val="00F275A5"/>
    <w:rsid w:val="00F27B3F"/>
    <w:rsid w:val="00F27EB3"/>
    <w:rsid w:val="00F27FAC"/>
    <w:rsid w:val="00F300CA"/>
    <w:rsid w:val="00F300E0"/>
    <w:rsid w:val="00F304AD"/>
    <w:rsid w:val="00F304D5"/>
    <w:rsid w:val="00F30661"/>
    <w:rsid w:val="00F30690"/>
    <w:rsid w:val="00F30932"/>
    <w:rsid w:val="00F30C63"/>
    <w:rsid w:val="00F30E8E"/>
    <w:rsid w:val="00F3103B"/>
    <w:rsid w:val="00F312AA"/>
    <w:rsid w:val="00F312D5"/>
    <w:rsid w:val="00F317C1"/>
    <w:rsid w:val="00F3191B"/>
    <w:rsid w:val="00F31BBB"/>
    <w:rsid w:val="00F31CCB"/>
    <w:rsid w:val="00F31E55"/>
    <w:rsid w:val="00F320D3"/>
    <w:rsid w:val="00F323AB"/>
    <w:rsid w:val="00F3245A"/>
    <w:rsid w:val="00F32620"/>
    <w:rsid w:val="00F32645"/>
    <w:rsid w:val="00F327CB"/>
    <w:rsid w:val="00F32815"/>
    <w:rsid w:val="00F32A2A"/>
    <w:rsid w:val="00F32AA1"/>
    <w:rsid w:val="00F32B4E"/>
    <w:rsid w:val="00F32C67"/>
    <w:rsid w:val="00F32C9D"/>
    <w:rsid w:val="00F330AF"/>
    <w:rsid w:val="00F331AA"/>
    <w:rsid w:val="00F3328D"/>
    <w:rsid w:val="00F33358"/>
    <w:rsid w:val="00F3399D"/>
    <w:rsid w:val="00F339B3"/>
    <w:rsid w:val="00F33C0E"/>
    <w:rsid w:val="00F33CD5"/>
    <w:rsid w:val="00F33D8C"/>
    <w:rsid w:val="00F33F39"/>
    <w:rsid w:val="00F33FB5"/>
    <w:rsid w:val="00F346FC"/>
    <w:rsid w:val="00F34B3D"/>
    <w:rsid w:val="00F34B40"/>
    <w:rsid w:val="00F34C2E"/>
    <w:rsid w:val="00F34C64"/>
    <w:rsid w:val="00F34E65"/>
    <w:rsid w:val="00F35035"/>
    <w:rsid w:val="00F351CB"/>
    <w:rsid w:val="00F35276"/>
    <w:rsid w:val="00F352B4"/>
    <w:rsid w:val="00F352F2"/>
    <w:rsid w:val="00F3541B"/>
    <w:rsid w:val="00F357C3"/>
    <w:rsid w:val="00F357F6"/>
    <w:rsid w:val="00F358AC"/>
    <w:rsid w:val="00F35910"/>
    <w:rsid w:val="00F35AD7"/>
    <w:rsid w:val="00F35F0B"/>
    <w:rsid w:val="00F35F2B"/>
    <w:rsid w:val="00F3650A"/>
    <w:rsid w:val="00F3664E"/>
    <w:rsid w:val="00F36695"/>
    <w:rsid w:val="00F367B4"/>
    <w:rsid w:val="00F368BD"/>
    <w:rsid w:val="00F36948"/>
    <w:rsid w:val="00F36A7E"/>
    <w:rsid w:val="00F36C75"/>
    <w:rsid w:val="00F36DEB"/>
    <w:rsid w:val="00F36F2F"/>
    <w:rsid w:val="00F372FB"/>
    <w:rsid w:val="00F37871"/>
    <w:rsid w:val="00F37B18"/>
    <w:rsid w:val="00F40149"/>
    <w:rsid w:val="00F407A1"/>
    <w:rsid w:val="00F40856"/>
    <w:rsid w:val="00F40AA4"/>
    <w:rsid w:val="00F40DF4"/>
    <w:rsid w:val="00F40FC7"/>
    <w:rsid w:val="00F413E5"/>
    <w:rsid w:val="00F41541"/>
    <w:rsid w:val="00F4166C"/>
    <w:rsid w:val="00F416F0"/>
    <w:rsid w:val="00F41789"/>
    <w:rsid w:val="00F41952"/>
    <w:rsid w:val="00F41A14"/>
    <w:rsid w:val="00F41A99"/>
    <w:rsid w:val="00F41CAA"/>
    <w:rsid w:val="00F41D62"/>
    <w:rsid w:val="00F41E3C"/>
    <w:rsid w:val="00F41EF3"/>
    <w:rsid w:val="00F41F01"/>
    <w:rsid w:val="00F41F53"/>
    <w:rsid w:val="00F41FF1"/>
    <w:rsid w:val="00F4250D"/>
    <w:rsid w:val="00F42710"/>
    <w:rsid w:val="00F427BF"/>
    <w:rsid w:val="00F42A4C"/>
    <w:rsid w:val="00F43061"/>
    <w:rsid w:val="00F4349A"/>
    <w:rsid w:val="00F4351B"/>
    <w:rsid w:val="00F43620"/>
    <w:rsid w:val="00F4362C"/>
    <w:rsid w:val="00F43661"/>
    <w:rsid w:val="00F43666"/>
    <w:rsid w:val="00F43677"/>
    <w:rsid w:val="00F436A9"/>
    <w:rsid w:val="00F436EE"/>
    <w:rsid w:val="00F4379D"/>
    <w:rsid w:val="00F43801"/>
    <w:rsid w:val="00F43B02"/>
    <w:rsid w:val="00F43C10"/>
    <w:rsid w:val="00F43CDE"/>
    <w:rsid w:val="00F43D0F"/>
    <w:rsid w:val="00F43D49"/>
    <w:rsid w:val="00F43F30"/>
    <w:rsid w:val="00F440CA"/>
    <w:rsid w:val="00F44172"/>
    <w:rsid w:val="00F443BC"/>
    <w:rsid w:val="00F44860"/>
    <w:rsid w:val="00F44C3F"/>
    <w:rsid w:val="00F44D3E"/>
    <w:rsid w:val="00F44DC2"/>
    <w:rsid w:val="00F44E43"/>
    <w:rsid w:val="00F44EB6"/>
    <w:rsid w:val="00F44EFF"/>
    <w:rsid w:val="00F45017"/>
    <w:rsid w:val="00F450FB"/>
    <w:rsid w:val="00F45160"/>
    <w:rsid w:val="00F45831"/>
    <w:rsid w:val="00F45DE7"/>
    <w:rsid w:val="00F45F61"/>
    <w:rsid w:val="00F46254"/>
    <w:rsid w:val="00F46274"/>
    <w:rsid w:val="00F4634F"/>
    <w:rsid w:val="00F4661B"/>
    <w:rsid w:val="00F466EF"/>
    <w:rsid w:val="00F4683D"/>
    <w:rsid w:val="00F46986"/>
    <w:rsid w:val="00F46A58"/>
    <w:rsid w:val="00F46B58"/>
    <w:rsid w:val="00F46C34"/>
    <w:rsid w:val="00F46DFD"/>
    <w:rsid w:val="00F46F90"/>
    <w:rsid w:val="00F473A2"/>
    <w:rsid w:val="00F47614"/>
    <w:rsid w:val="00F47661"/>
    <w:rsid w:val="00F476BA"/>
    <w:rsid w:val="00F478B0"/>
    <w:rsid w:val="00F47924"/>
    <w:rsid w:val="00F479B1"/>
    <w:rsid w:val="00F47BA0"/>
    <w:rsid w:val="00F47BC3"/>
    <w:rsid w:val="00F47D1E"/>
    <w:rsid w:val="00F47EA9"/>
    <w:rsid w:val="00F50021"/>
    <w:rsid w:val="00F50026"/>
    <w:rsid w:val="00F506C5"/>
    <w:rsid w:val="00F50A39"/>
    <w:rsid w:val="00F50B56"/>
    <w:rsid w:val="00F50F0E"/>
    <w:rsid w:val="00F50FD2"/>
    <w:rsid w:val="00F511FE"/>
    <w:rsid w:val="00F512A4"/>
    <w:rsid w:val="00F51309"/>
    <w:rsid w:val="00F51314"/>
    <w:rsid w:val="00F51440"/>
    <w:rsid w:val="00F51444"/>
    <w:rsid w:val="00F514BD"/>
    <w:rsid w:val="00F5153D"/>
    <w:rsid w:val="00F5168D"/>
    <w:rsid w:val="00F5172C"/>
    <w:rsid w:val="00F51B12"/>
    <w:rsid w:val="00F51C6E"/>
    <w:rsid w:val="00F51D2C"/>
    <w:rsid w:val="00F52136"/>
    <w:rsid w:val="00F521DC"/>
    <w:rsid w:val="00F528B7"/>
    <w:rsid w:val="00F5292E"/>
    <w:rsid w:val="00F52AFB"/>
    <w:rsid w:val="00F52BD1"/>
    <w:rsid w:val="00F52C96"/>
    <w:rsid w:val="00F52D1F"/>
    <w:rsid w:val="00F52DED"/>
    <w:rsid w:val="00F531A2"/>
    <w:rsid w:val="00F5350A"/>
    <w:rsid w:val="00F53540"/>
    <w:rsid w:val="00F5377A"/>
    <w:rsid w:val="00F538A2"/>
    <w:rsid w:val="00F53A6C"/>
    <w:rsid w:val="00F53A91"/>
    <w:rsid w:val="00F53D77"/>
    <w:rsid w:val="00F540E1"/>
    <w:rsid w:val="00F5414C"/>
    <w:rsid w:val="00F5469B"/>
    <w:rsid w:val="00F546CB"/>
    <w:rsid w:val="00F5470C"/>
    <w:rsid w:val="00F547E3"/>
    <w:rsid w:val="00F54A55"/>
    <w:rsid w:val="00F54BAC"/>
    <w:rsid w:val="00F54BC9"/>
    <w:rsid w:val="00F54D66"/>
    <w:rsid w:val="00F54E62"/>
    <w:rsid w:val="00F54F61"/>
    <w:rsid w:val="00F54F6A"/>
    <w:rsid w:val="00F54FFD"/>
    <w:rsid w:val="00F55303"/>
    <w:rsid w:val="00F55346"/>
    <w:rsid w:val="00F553C6"/>
    <w:rsid w:val="00F554C7"/>
    <w:rsid w:val="00F55A81"/>
    <w:rsid w:val="00F55EB4"/>
    <w:rsid w:val="00F55EC7"/>
    <w:rsid w:val="00F560A4"/>
    <w:rsid w:val="00F5615E"/>
    <w:rsid w:val="00F56412"/>
    <w:rsid w:val="00F56649"/>
    <w:rsid w:val="00F56650"/>
    <w:rsid w:val="00F56848"/>
    <w:rsid w:val="00F56893"/>
    <w:rsid w:val="00F568E5"/>
    <w:rsid w:val="00F56B6B"/>
    <w:rsid w:val="00F56DC2"/>
    <w:rsid w:val="00F56FB8"/>
    <w:rsid w:val="00F56FEF"/>
    <w:rsid w:val="00F5715F"/>
    <w:rsid w:val="00F57328"/>
    <w:rsid w:val="00F57425"/>
    <w:rsid w:val="00F574BB"/>
    <w:rsid w:val="00F57715"/>
    <w:rsid w:val="00F5784D"/>
    <w:rsid w:val="00F57873"/>
    <w:rsid w:val="00F5796C"/>
    <w:rsid w:val="00F57AB9"/>
    <w:rsid w:val="00F57D40"/>
    <w:rsid w:val="00F57DE4"/>
    <w:rsid w:val="00F57E3E"/>
    <w:rsid w:val="00F604D6"/>
    <w:rsid w:val="00F604F6"/>
    <w:rsid w:val="00F608E8"/>
    <w:rsid w:val="00F60C97"/>
    <w:rsid w:val="00F60D0D"/>
    <w:rsid w:val="00F60D34"/>
    <w:rsid w:val="00F60D85"/>
    <w:rsid w:val="00F610A1"/>
    <w:rsid w:val="00F61183"/>
    <w:rsid w:val="00F611C9"/>
    <w:rsid w:val="00F614FA"/>
    <w:rsid w:val="00F61531"/>
    <w:rsid w:val="00F6168E"/>
    <w:rsid w:val="00F617ED"/>
    <w:rsid w:val="00F61B5C"/>
    <w:rsid w:val="00F61CFC"/>
    <w:rsid w:val="00F61DB0"/>
    <w:rsid w:val="00F61E4B"/>
    <w:rsid w:val="00F61EA0"/>
    <w:rsid w:val="00F61FCB"/>
    <w:rsid w:val="00F62072"/>
    <w:rsid w:val="00F62093"/>
    <w:rsid w:val="00F620B9"/>
    <w:rsid w:val="00F62111"/>
    <w:rsid w:val="00F62331"/>
    <w:rsid w:val="00F62366"/>
    <w:rsid w:val="00F6243D"/>
    <w:rsid w:val="00F6282D"/>
    <w:rsid w:val="00F62F66"/>
    <w:rsid w:val="00F632BF"/>
    <w:rsid w:val="00F634FA"/>
    <w:rsid w:val="00F63636"/>
    <w:rsid w:val="00F636BF"/>
    <w:rsid w:val="00F63763"/>
    <w:rsid w:val="00F63899"/>
    <w:rsid w:val="00F63A4C"/>
    <w:rsid w:val="00F63CAD"/>
    <w:rsid w:val="00F63EAD"/>
    <w:rsid w:val="00F63F7E"/>
    <w:rsid w:val="00F642F1"/>
    <w:rsid w:val="00F642F4"/>
    <w:rsid w:val="00F64356"/>
    <w:rsid w:val="00F645C9"/>
    <w:rsid w:val="00F647C9"/>
    <w:rsid w:val="00F64806"/>
    <w:rsid w:val="00F64A32"/>
    <w:rsid w:val="00F64F75"/>
    <w:rsid w:val="00F65116"/>
    <w:rsid w:val="00F653A5"/>
    <w:rsid w:val="00F65477"/>
    <w:rsid w:val="00F655B4"/>
    <w:rsid w:val="00F655CB"/>
    <w:rsid w:val="00F6561C"/>
    <w:rsid w:val="00F65937"/>
    <w:rsid w:val="00F65957"/>
    <w:rsid w:val="00F65ACC"/>
    <w:rsid w:val="00F65B07"/>
    <w:rsid w:val="00F65B71"/>
    <w:rsid w:val="00F66289"/>
    <w:rsid w:val="00F66678"/>
    <w:rsid w:val="00F66772"/>
    <w:rsid w:val="00F668EF"/>
    <w:rsid w:val="00F66909"/>
    <w:rsid w:val="00F66989"/>
    <w:rsid w:val="00F6704A"/>
    <w:rsid w:val="00F6713F"/>
    <w:rsid w:val="00F67178"/>
    <w:rsid w:val="00F6725D"/>
    <w:rsid w:val="00F67330"/>
    <w:rsid w:val="00F67380"/>
    <w:rsid w:val="00F6738D"/>
    <w:rsid w:val="00F673B7"/>
    <w:rsid w:val="00F6744C"/>
    <w:rsid w:val="00F67791"/>
    <w:rsid w:val="00F6783F"/>
    <w:rsid w:val="00F67933"/>
    <w:rsid w:val="00F6798F"/>
    <w:rsid w:val="00F67B0D"/>
    <w:rsid w:val="00F67CE7"/>
    <w:rsid w:val="00F701A6"/>
    <w:rsid w:val="00F7040C"/>
    <w:rsid w:val="00F7043D"/>
    <w:rsid w:val="00F704A8"/>
    <w:rsid w:val="00F705BF"/>
    <w:rsid w:val="00F7082C"/>
    <w:rsid w:val="00F70BA4"/>
    <w:rsid w:val="00F70CDA"/>
    <w:rsid w:val="00F710E7"/>
    <w:rsid w:val="00F7163A"/>
    <w:rsid w:val="00F7165F"/>
    <w:rsid w:val="00F7167C"/>
    <w:rsid w:val="00F716A0"/>
    <w:rsid w:val="00F71833"/>
    <w:rsid w:val="00F71949"/>
    <w:rsid w:val="00F71991"/>
    <w:rsid w:val="00F71B5B"/>
    <w:rsid w:val="00F71C9E"/>
    <w:rsid w:val="00F71E46"/>
    <w:rsid w:val="00F71FF3"/>
    <w:rsid w:val="00F7218A"/>
    <w:rsid w:val="00F722E0"/>
    <w:rsid w:val="00F72955"/>
    <w:rsid w:val="00F72C64"/>
    <w:rsid w:val="00F72C6F"/>
    <w:rsid w:val="00F72DAA"/>
    <w:rsid w:val="00F7314D"/>
    <w:rsid w:val="00F7329C"/>
    <w:rsid w:val="00F73571"/>
    <w:rsid w:val="00F7358D"/>
    <w:rsid w:val="00F73963"/>
    <w:rsid w:val="00F73A81"/>
    <w:rsid w:val="00F73A87"/>
    <w:rsid w:val="00F73C19"/>
    <w:rsid w:val="00F73E0D"/>
    <w:rsid w:val="00F7410A"/>
    <w:rsid w:val="00F74707"/>
    <w:rsid w:val="00F74A34"/>
    <w:rsid w:val="00F74CB9"/>
    <w:rsid w:val="00F74CC5"/>
    <w:rsid w:val="00F74D68"/>
    <w:rsid w:val="00F74ED2"/>
    <w:rsid w:val="00F74FE3"/>
    <w:rsid w:val="00F7510F"/>
    <w:rsid w:val="00F755BB"/>
    <w:rsid w:val="00F756AB"/>
    <w:rsid w:val="00F756CE"/>
    <w:rsid w:val="00F75920"/>
    <w:rsid w:val="00F759D0"/>
    <w:rsid w:val="00F75A6E"/>
    <w:rsid w:val="00F75C85"/>
    <w:rsid w:val="00F75D2C"/>
    <w:rsid w:val="00F75D8B"/>
    <w:rsid w:val="00F75EF9"/>
    <w:rsid w:val="00F75F1B"/>
    <w:rsid w:val="00F76439"/>
    <w:rsid w:val="00F764BC"/>
    <w:rsid w:val="00F76551"/>
    <w:rsid w:val="00F7681C"/>
    <w:rsid w:val="00F76874"/>
    <w:rsid w:val="00F76A3E"/>
    <w:rsid w:val="00F76A65"/>
    <w:rsid w:val="00F76AEE"/>
    <w:rsid w:val="00F76BCC"/>
    <w:rsid w:val="00F76F38"/>
    <w:rsid w:val="00F76FE9"/>
    <w:rsid w:val="00F77036"/>
    <w:rsid w:val="00F77081"/>
    <w:rsid w:val="00F772CF"/>
    <w:rsid w:val="00F77775"/>
    <w:rsid w:val="00F777F6"/>
    <w:rsid w:val="00F77829"/>
    <w:rsid w:val="00F77832"/>
    <w:rsid w:val="00F77A0E"/>
    <w:rsid w:val="00F77A77"/>
    <w:rsid w:val="00F77EB7"/>
    <w:rsid w:val="00F77EED"/>
    <w:rsid w:val="00F77EF9"/>
    <w:rsid w:val="00F77F0A"/>
    <w:rsid w:val="00F801CA"/>
    <w:rsid w:val="00F802D5"/>
    <w:rsid w:val="00F802DA"/>
    <w:rsid w:val="00F80338"/>
    <w:rsid w:val="00F8045F"/>
    <w:rsid w:val="00F808CF"/>
    <w:rsid w:val="00F80A4D"/>
    <w:rsid w:val="00F80AE8"/>
    <w:rsid w:val="00F80CD4"/>
    <w:rsid w:val="00F80CE1"/>
    <w:rsid w:val="00F80D79"/>
    <w:rsid w:val="00F80E2C"/>
    <w:rsid w:val="00F81018"/>
    <w:rsid w:val="00F810D4"/>
    <w:rsid w:val="00F810DC"/>
    <w:rsid w:val="00F812F1"/>
    <w:rsid w:val="00F81348"/>
    <w:rsid w:val="00F815F4"/>
    <w:rsid w:val="00F815FD"/>
    <w:rsid w:val="00F81AE6"/>
    <w:rsid w:val="00F81B89"/>
    <w:rsid w:val="00F81E7D"/>
    <w:rsid w:val="00F82151"/>
    <w:rsid w:val="00F82308"/>
    <w:rsid w:val="00F823F3"/>
    <w:rsid w:val="00F824B0"/>
    <w:rsid w:val="00F82EDB"/>
    <w:rsid w:val="00F831EE"/>
    <w:rsid w:val="00F83358"/>
    <w:rsid w:val="00F8337B"/>
    <w:rsid w:val="00F833DE"/>
    <w:rsid w:val="00F83566"/>
    <w:rsid w:val="00F835AF"/>
    <w:rsid w:val="00F835EA"/>
    <w:rsid w:val="00F8360B"/>
    <w:rsid w:val="00F83C06"/>
    <w:rsid w:val="00F83C11"/>
    <w:rsid w:val="00F83CFE"/>
    <w:rsid w:val="00F83EBE"/>
    <w:rsid w:val="00F8403A"/>
    <w:rsid w:val="00F8405C"/>
    <w:rsid w:val="00F84276"/>
    <w:rsid w:val="00F84324"/>
    <w:rsid w:val="00F844BC"/>
    <w:rsid w:val="00F84627"/>
    <w:rsid w:val="00F846A9"/>
    <w:rsid w:val="00F8476E"/>
    <w:rsid w:val="00F84810"/>
    <w:rsid w:val="00F8482E"/>
    <w:rsid w:val="00F84845"/>
    <w:rsid w:val="00F84A37"/>
    <w:rsid w:val="00F84B09"/>
    <w:rsid w:val="00F84E92"/>
    <w:rsid w:val="00F851CA"/>
    <w:rsid w:val="00F852E3"/>
    <w:rsid w:val="00F8536B"/>
    <w:rsid w:val="00F8538E"/>
    <w:rsid w:val="00F85636"/>
    <w:rsid w:val="00F8572C"/>
    <w:rsid w:val="00F857E1"/>
    <w:rsid w:val="00F8595F"/>
    <w:rsid w:val="00F86001"/>
    <w:rsid w:val="00F862A3"/>
    <w:rsid w:val="00F86422"/>
    <w:rsid w:val="00F86541"/>
    <w:rsid w:val="00F86612"/>
    <w:rsid w:val="00F866A3"/>
    <w:rsid w:val="00F869F3"/>
    <w:rsid w:val="00F86A0F"/>
    <w:rsid w:val="00F86A14"/>
    <w:rsid w:val="00F86ADB"/>
    <w:rsid w:val="00F86B37"/>
    <w:rsid w:val="00F86C6B"/>
    <w:rsid w:val="00F86E3E"/>
    <w:rsid w:val="00F8715F"/>
    <w:rsid w:val="00F8718F"/>
    <w:rsid w:val="00F8745C"/>
    <w:rsid w:val="00F8775D"/>
    <w:rsid w:val="00F878FD"/>
    <w:rsid w:val="00F87A9E"/>
    <w:rsid w:val="00F90234"/>
    <w:rsid w:val="00F9027F"/>
    <w:rsid w:val="00F906D3"/>
    <w:rsid w:val="00F907D2"/>
    <w:rsid w:val="00F908C5"/>
    <w:rsid w:val="00F90909"/>
    <w:rsid w:val="00F90A69"/>
    <w:rsid w:val="00F90A79"/>
    <w:rsid w:val="00F90A8B"/>
    <w:rsid w:val="00F9107A"/>
    <w:rsid w:val="00F911B0"/>
    <w:rsid w:val="00F9123B"/>
    <w:rsid w:val="00F91291"/>
    <w:rsid w:val="00F914E9"/>
    <w:rsid w:val="00F916F0"/>
    <w:rsid w:val="00F91D84"/>
    <w:rsid w:val="00F91FAB"/>
    <w:rsid w:val="00F91FC3"/>
    <w:rsid w:val="00F92162"/>
    <w:rsid w:val="00F92484"/>
    <w:rsid w:val="00F9249A"/>
    <w:rsid w:val="00F924D4"/>
    <w:rsid w:val="00F92686"/>
    <w:rsid w:val="00F92775"/>
    <w:rsid w:val="00F92794"/>
    <w:rsid w:val="00F92C1C"/>
    <w:rsid w:val="00F92DFD"/>
    <w:rsid w:val="00F92EB8"/>
    <w:rsid w:val="00F9330D"/>
    <w:rsid w:val="00F93353"/>
    <w:rsid w:val="00F933F8"/>
    <w:rsid w:val="00F934E3"/>
    <w:rsid w:val="00F9359D"/>
    <w:rsid w:val="00F937DA"/>
    <w:rsid w:val="00F938A3"/>
    <w:rsid w:val="00F9392B"/>
    <w:rsid w:val="00F93A42"/>
    <w:rsid w:val="00F93C1B"/>
    <w:rsid w:val="00F94031"/>
    <w:rsid w:val="00F9408A"/>
    <w:rsid w:val="00F94343"/>
    <w:rsid w:val="00F94370"/>
    <w:rsid w:val="00F94521"/>
    <w:rsid w:val="00F945C6"/>
    <w:rsid w:val="00F947DA"/>
    <w:rsid w:val="00F947EF"/>
    <w:rsid w:val="00F94874"/>
    <w:rsid w:val="00F94A03"/>
    <w:rsid w:val="00F94A87"/>
    <w:rsid w:val="00F94C8F"/>
    <w:rsid w:val="00F95128"/>
    <w:rsid w:val="00F9517F"/>
    <w:rsid w:val="00F952EC"/>
    <w:rsid w:val="00F95372"/>
    <w:rsid w:val="00F95428"/>
    <w:rsid w:val="00F95466"/>
    <w:rsid w:val="00F9558F"/>
    <w:rsid w:val="00F959D5"/>
    <w:rsid w:val="00F95C7C"/>
    <w:rsid w:val="00F95E0E"/>
    <w:rsid w:val="00F95F84"/>
    <w:rsid w:val="00F96184"/>
    <w:rsid w:val="00F963DC"/>
    <w:rsid w:val="00F9649F"/>
    <w:rsid w:val="00F964D0"/>
    <w:rsid w:val="00F96547"/>
    <w:rsid w:val="00F96561"/>
    <w:rsid w:val="00F966E7"/>
    <w:rsid w:val="00F96D36"/>
    <w:rsid w:val="00F96E57"/>
    <w:rsid w:val="00F9716D"/>
    <w:rsid w:val="00F9732A"/>
    <w:rsid w:val="00F97546"/>
    <w:rsid w:val="00F97602"/>
    <w:rsid w:val="00F97608"/>
    <w:rsid w:val="00F97B5A"/>
    <w:rsid w:val="00F97D29"/>
    <w:rsid w:val="00F97F59"/>
    <w:rsid w:val="00F97F7C"/>
    <w:rsid w:val="00F97FAA"/>
    <w:rsid w:val="00FA0176"/>
    <w:rsid w:val="00FA029A"/>
    <w:rsid w:val="00FA02D0"/>
    <w:rsid w:val="00FA07AF"/>
    <w:rsid w:val="00FA0B02"/>
    <w:rsid w:val="00FA0E62"/>
    <w:rsid w:val="00FA0FBA"/>
    <w:rsid w:val="00FA1272"/>
    <w:rsid w:val="00FA1290"/>
    <w:rsid w:val="00FA190F"/>
    <w:rsid w:val="00FA196B"/>
    <w:rsid w:val="00FA1A29"/>
    <w:rsid w:val="00FA1A46"/>
    <w:rsid w:val="00FA1BC7"/>
    <w:rsid w:val="00FA1C99"/>
    <w:rsid w:val="00FA1CE3"/>
    <w:rsid w:val="00FA1D80"/>
    <w:rsid w:val="00FA1F2E"/>
    <w:rsid w:val="00FA251C"/>
    <w:rsid w:val="00FA2618"/>
    <w:rsid w:val="00FA28E7"/>
    <w:rsid w:val="00FA2B67"/>
    <w:rsid w:val="00FA2F8F"/>
    <w:rsid w:val="00FA304E"/>
    <w:rsid w:val="00FA3213"/>
    <w:rsid w:val="00FA3301"/>
    <w:rsid w:val="00FA360B"/>
    <w:rsid w:val="00FA36A8"/>
    <w:rsid w:val="00FA3889"/>
    <w:rsid w:val="00FA3B55"/>
    <w:rsid w:val="00FA3D36"/>
    <w:rsid w:val="00FA3FD1"/>
    <w:rsid w:val="00FA444A"/>
    <w:rsid w:val="00FA456B"/>
    <w:rsid w:val="00FA45D2"/>
    <w:rsid w:val="00FA4646"/>
    <w:rsid w:val="00FA4AC2"/>
    <w:rsid w:val="00FA4B63"/>
    <w:rsid w:val="00FA4BB4"/>
    <w:rsid w:val="00FA4C15"/>
    <w:rsid w:val="00FA4DE9"/>
    <w:rsid w:val="00FA50D8"/>
    <w:rsid w:val="00FA53EB"/>
    <w:rsid w:val="00FA55A9"/>
    <w:rsid w:val="00FA57C2"/>
    <w:rsid w:val="00FA5880"/>
    <w:rsid w:val="00FA5AC8"/>
    <w:rsid w:val="00FA5B31"/>
    <w:rsid w:val="00FA5B50"/>
    <w:rsid w:val="00FA5BE3"/>
    <w:rsid w:val="00FA5E2C"/>
    <w:rsid w:val="00FA5F00"/>
    <w:rsid w:val="00FA6338"/>
    <w:rsid w:val="00FA64BA"/>
    <w:rsid w:val="00FA6551"/>
    <w:rsid w:val="00FA666B"/>
    <w:rsid w:val="00FA6886"/>
    <w:rsid w:val="00FA68DA"/>
    <w:rsid w:val="00FA6B49"/>
    <w:rsid w:val="00FA6BA9"/>
    <w:rsid w:val="00FA6C76"/>
    <w:rsid w:val="00FA6E1D"/>
    <w:rsid w:val="00FA6FAB"/>
    <w:rsid w:val="00FA7232"/>
    <w:rsid w:val="00FA72EA"/>
    <w:rsid w:val="00FA72FE"/>
    <w:rsid w:val="00FA7705"/>
    <w:rsid w:val="00FA77A0"/>
    <w:rsid w:val="00FA796D"/>
    <w:rsid w:val="00FA79AC"/>
    <w:rsid w:val="00FA7AFF"/>
    <w:rsid w:val="00FA7C83"/>
    <w:rsid w:val="00FB0196"/>
    <w:rsid w:val="00FB01F0"/>
    <w:rsid w:val="00FB024C"/>
    <w:rsid w:val="00FB028E"/>
    <w:rsid w:val="00FB0461"/>
    <w:rsid w:val="00FB078E"/>
    <w:rsid w:val="00FB07FD"/>
    <w:rsid w:val="00FB0A4C"/>
    <w:rsid w:val="00FB0EFD"/>
    <w:rsid w:val="00FB0FBB"/>
    <w:rsid w:val="00FB1018"/>
    <w:rsid w:val="00FB1092"/>
    <w:rsid w:val="00FB17B7"/>
    <w:rsid w:val="00FB17E5"/>
    <w:rsid w:val="00FB184D"/>
    <w:rsid w:val="00FB1B24"/>
    <w:rsid w:val="00FB1CDA"/>
    <w:rsid w:val="00FB1D95"/>
    <w:rsid w:val="00FB1F77"/>
    <w:rsid w:val="00FB1F7D"/>
    <w:rsid w:val="00FB28B8"/>
    <w:rsid w:val="00FB3024"/>
    <w:rsid w:val="00FB326A"/>
    <w:rsid w:val="00FB32E6"/>
    <w:rsid w:val="00FB33FB"/>
    <w:rsid w:val="00FB3413"/>
    <w:rsid w:val="00FB3427"/>
    <w:rsid w:val="00FB3625"/>
    <w:rsid w:val="00FB37A3"/>
    <w:rsid w:val="00FB37EA"/>
    <w:rsid w:val="00FB3826"/>
    <w:rsid w:val="00FB3D1F"/>
    <w:rsid w:val="00FB3DF2"/>
    <w:rsid w:val="00FB407F"/>
    <w:rsid w:val="00FB467C"/>
    <w:rsid w:val="00FB48D9"/>
    <w:rsid w:val="00FB4945"/>
    <w:rsid w:val="00FB49F1"/>
    <w:rsid w:val="00FB4AAB"/>
    <w:rsid w:val="00FB52CE"/>
    <w:rsid w:val="00FB5331"/>
    <w:rsid w:val="00FB54FB"/>
    <w:rsid w:val="00FB550B"/>
    <w:rsid w:val="00FB5686"/>
    <w:rsid w:val="00FB56F6"/>
    <w:rsid w:val="00FB5866"/>
    <w:rsid w:val="00FB594B"/>
    <w:rsid w:val="00FB5CA5"/>
    <w:rsid w:val="00FB5CAC"/>
    <w:rsid w:val="00FB605F"/>
    <w:rsid w:val="00FB60D9"/>
    <w:rsid w:val="00FB65FD"/>
    <w:rsid w:val="00FB6723"/>
    <w:rsid w:val="00FB67BA"/>
    <w:rsid w:val="00FB67E5"/>
    <w:rsid w:val="00FB6A2E"/>
    <w:rsid w:val="00FB6B68"/>
    <w:rsid w:val="00FB6D22"/>
    <w:rsid w:val="00FB6E21"/>
    <w:rsid w:val="00FB6F33"/>
    <w:rsid w:val="00FB7081"/>
    <w:rsid w:val="00FB7374"/>
    <w:rsid w:val="00FB749A"/>
    <w:rsid w:val="00FB77C1"/>
    <w:rsid w:val="00FB794A"/>
    <w:rsid w:val="00FB7A55"/>
    <w:rsid w:val="00FB7A86"/>
    <w:rsid w:val="00FB7AF7"/>
    <w:rsid w:val="00FB7DE4"/>
    <w:rsid w:val="00FB7EF4"/>
    <w:rsid w:val="00FC012D"/>
    <w:rsid w:val="00FC0205"/>
    <w:rsid w:val="00FC033A"/>
    <w:rsid w:val="00FC035C"/>
    <w:rsid w:val="00FC062E"/>
    <w:rsid w:val="00FC0630"/>
    <w:rsid w:val="00FC0950"/>
    <w:rsid w:val="00FC0C8C"/>
    <w:rsid w:val="00FC1212"/>
    <w:rsid w:val="00FC1401"/>
    <w:rsid w:val="00FC17F9"/>
    <w:rsid w:val="00FC1A29"/>
    <w:rsid w:val="00FC1A2C"/>
    <w:rsid w:val="00FC1BB6"/>
    <w:rsid w:val="00FC1C42"/>
    <w:rsid w:val="00FC1C75"/>
    <w:rsid w:val="00FC1EC9"/>
    <w:rsid w:val="00FC1FBC"/>
    <w:rsid w:val="00FC215F"/>
    <w:rsid w:val="00FC2208"/>
    <w:rsid w:val="00FC23BA"/>
    <w:rsid w:val="00FC2532"/>
    <w:rsid w:val="00FC2565"/>
    <w:rsid w:val="00FC26B0"/>
    <w:rsid w:val="00FC28C5"/>
    <w:rsid w:val="00FC29D4"/>
    <w:rsid w:val="00FC2A05"/>
    <w:rsid w:val="00FC2A9C"/>
    <w:rsid w:val="00FC2C6A"/>
    <w:rsid w:val="00FC2ED2"/>
    <w:rsid w:val="00FC2F99"/>
    <w:rsid w:val="00FC3121"/>
    <w:rsid w:val="00FC3278"/>
    <w:rsid w:val="00FC333B"/>
    <w:rsid w:val="00FC33BA"/>
    <w:rsid w:val="00FC3424"/>
    <w:rsid w:val="00FC36C7"/>
    <w:rsid w:val="00FC377B"/>
    <w:rsid w:val="00FC3981"/>
    <w:rsid w:val="00FC3A5F"/>
    <w:rsid w:val="00FC3B72"/>
    <w:rsid w:val="00FC3D34"/>
    <w:rsid w:val="00FC3E0D"/>
    <w:rsid w:val="00FC3FCD"/>
    <w:rsid w:val="00FC407D"/>
    <w:rsid w:val="00FC417C"/>
    <w:rsid w:val="00FC417E"/>
    <w:rsid w:val="00FC452E"/>
    <w:rsid w:val="00FC46D8"/>
    <w:rsid w:val="00FC4CEB"/>
    <w:rsid w:val="00FC4F00"/>
    <w:rsid w:val="00FC5510"/>
    <w:rsid w:val="00FC568B"/>
    <w:rsid w:val="00FC5751"/>
    <w:rsid w:val="00FC57BC"/>
    <w:rsid w:val="00FC57C9"/>
    <w:rsid w:val="00FC5900"/>
    <w:rsid w:val="00FC5B4F"/>
    <w:rsid w:val="00FC5E47"/>
    <w:rsid w:val="00FC5F74"/>
    <w:rsid w:val="00FC6108"/>
    <w:rsid w:val="00FC65F3"/>
    <w:rsid w:val="00FC6960"/>
    <w:rsid w:val="00FC69E7"/>
    <w:rsid w:val="00FC6C53"/>
    <w:rsid w:val="00FC6FCF"/>
    <w:rsid w:val="00FC7087"/>
    <w:rsid w:val="00FC740A"/>
    <w:rsid w:val="00FC74E1"/>
    <w:rsid w:val="00FC776F"/>
    <w:rsid w:val="00FD0133"/>
    <w:rsid w:val="00FD0196"/>
    <w:rsid w:val="00FD01DD"/>
    <w:rsid w:val="00FD0547"/>
    <w:rsid w:val="00FD0568"/>
    <w:rsid w:val="00FD0744"/>
    <w:rsid w:val="00FD0B31"/>
    <w:rsid w:val="00FD0D03"/>
    <w:rsid w:val="00FD0FC3"/>
    <w:rsid w:val="00FD126D"/>
    <w:rsid w:val="00FD1279"/>
    <w:rsid w:val="00FD1374"/>
    <w:rsid w:val="00FD13EC"/>
    <w:rsid w:val="00FD1410"/>
    <w:rsid w:val="00FD1575"/>
    <w:rsid w:val="00FD1DF3"/>
    <w:rsid w:val="00FD1F43"/>
    <w:rsid w:val="00FD1FD1"/>
    <w:rsid w:val="00FD1FD8"/>
    <w:rsid w:val="00FD2118"/>
    <w:rsid w:val="00FD2209"/>
    <w:rsid w:val="00FD2263"/>
    <w:rsid w:val="00FD2349"/>
    <w:rsid w:val="00FD2415"/>
    <w:rsid w:val="00FD25E7"/>
    <w:rsid w:val="00FD25EC"/>
    <w:rsid w:val="00FD26C1"/>
    <w:rsid w:val="00FD26E3"/>
    <w:rsid w:val="00FD298F"/>
    <w:rsid w:val="00FD2A97"/>
    <w:rsid w:val="00FD2C74"/>
    <w:rsid w:val="00FD2C8F"/>
    <w:rsid w:val="00FD2D01"/>
    <w:rsid w:val="00FD2D25"/>
    <w:rsid w:val="00FD2D41"/>
    <w:rsid w:val="00FD33E2"/>
    <w:rsid w:val="00FD3463"/>
    <w:rsid w:val="00FD34A8"/>
    <w:rsid w:val="00FD34F7"/>
    <w:rsid w:val="00FD3753"/>
    <w:rsid w:val="00FD3BB7"/>
    <w:rsid w:val="00FD3BFB"/>
    <w:rsid w:val="00FD3DA6"/>
    <w:rsid w:val="00FD3E3C"/>
    <w:rsid w:val="00FD3F58"/>
    <w:rsid w:val="00FD3FD6"/>
    <w:rsid w:val="00FD40F3"/>
    <w:rsid w:val="00FD42E3"/>
    <w:rsid w:val="00FD4503"/>
    <w:rsid w:val="00FD46F3"/>
    <w:rsid w:val="00FD4865"/>
    <w:rsid w:val="00FD4DE5"/>
    <w:rsid w:val="00FD4EFB"/>
    <w:rsid w:val="00FD4FAE"/>
    <w:rsid w:val="00FD506B"/>
    <w:rsid w:val="00FD524D"/>
    <w:rsid w:val="00FD5498"/>
    <w:rsid w:val="00FD561C"/>
    <w:rsid w:val="00FD5758"/>
    <w:rsid w:val="00FD5948"/>
    <w:rsid w:val="00FD5B14"/>
    <w:rsid w:val="00FD5ED0"/>
    <w:rsid w:val="00FD60C6"/>
    <w:rsid w:val="00FD62F6"/>
    <w:rsid w:val="00FD6763"/>
    <w:rsid w:val="00FD6788"/>
    <w:rsid w:val="00FD67E0"/>
    <w:rsid w:val="00FD6827"/>
    <w:rsid w:val="00FD6A35"/>
    <w:rsid w:val="00FD6B12"/>
    <w:rsid w:val="00FD6CDF"/>
    <w:rsid w:val="00FD6DC9"/>
    <w:rsid w:val="00FD7200"/>
    <w:rsid w:val="00FD722F"/>
    <w:rsid w:val="00FD74A1"/>
    <w:rsid w:val="00FD751F"/>
    <w:rsid w:val="00FD7584"/>
    <w:rsid w:val="00FD759A"/>
    <w:rsid w:val="00FD783B"/>
    <w:rsid w:val="00FD7AC9"/>
    <w:rsid w:val="00FD7C27"/>
    <w:rsid w:val="00FD7E2A"/>
    <w:rsid w:val="00FD7E75"/>
    <w:rsid w:val="00FE0231"/>
    <w:rsid w:val="00FE092C"/>
    <w:rsid w:val="00FE09CC"/>
    <w:rsid w:val="00FE09F6"/>
    <w:rsid w:val="00FE0BC2"/>
    <w:rsid w:val="00FE0C2F"/>
    <w:rsid w:val="00FE0D3D"/>
    <w:rsid w:val="00FE0EF5"/>
    <w:rsid w:val="00FE102A"/>
    <w:rsid w:val="00FE138A"/>
    <w:rsid w:val="00FE13CD"/>
    <w:rsid w:val="00FE17AC"/>
    <w:rsid w:val="00FE186E"/>
    <w:rsid w:val="00FE1977"/>
    <w:rsid w:val="00FE1AD9"/>
    <w:rsid w:val="00FE1B02"/>
    <w:rsid w:val="00FE2096"/>
    <w:rsid w:val="00FE25D6"/>
    <w:rsid w:val="00FE295D"/>
    <w:rsid w:val="00FE296E"/>
    <w:rsid w:val="00FE2CF9"/>
    <w:rsid w:val="00FE2DDF"/>
    <w:rsid w:val="00FE2E3A"/>
    <w:rsid w:val="00FE3291"/>
    <w:rsid w:val="00FE33B7"/>
    <w:rsid w:val="00FE3935"/>
    <w:rsid w:val="00FE3B60"/>
    <w:rsid w:val="00FE3C61"/>
    <w:rsid w:val="00FE3E4D"/>
    <w:rsid w:val="00FE3F1F"/>
    <w:rsid w:val="00FE432E"/>
    <w:rsid w:val="00FE4883"/>
    <w:rsid w:val="00FE4AD0"/>
    <w:rsid w:val="00FE4DDE"/>
    <w:rsid w:val="00FE506E"/>
    <w:rsid w:val="00FE511E"/>
    <w:rsid w:val="00FE52FA"/>
    <w:rsid w:val="00FE5302"/>
    <w:rsid w:val="00FE5397"/>
    <w:rsid w:val="00FE566D"/>
    <w:rsid w:val="00FE587F"/>
    <w:rsid w:val="00FE59E8"/>
    <w:rsid w:val="00FE5AAE"/>
    <w:rsid w:val="00FE5BD3"/>
    <w:rsid w:val="00FE5EA2"/>
    <w:rsid w:val="00FE5ECB"/>
    <w:rsid w:val="00FE6352"/>
    <w:rsid w:val="00FE6393"/>
    <w:rsid w:val="00FE69C7"/>
    <w:rsid w:val="00FE6A8E"/>
    <w:rsid w:val="00FE6CD7"/>
    <w:rsid w:val="00FE6DE9"/>
    <w:rsid w:val="00FE6E4E"/>
    <w:rsid w:val="00FE6E7F"/>
    <w:rsid w:val="00FE6EFD"/>
    <w:rsid w:val="00FE702E"/>
    <w:rsid w:val="00FE70CD"/>
    <w:rsid w:val="00FE717C"/>
    <w:rsid w:val="00FE7242"/>
    <w:rsid w:val="00FE73B1"/>
    <w:rsid w:val="00FE7574"/>
    <w:rsid w:val="00FE77F7"/>
    <w:rsid w:val="00FE7926"/>
    <w:rsid w:val="00FE7949"/>
    <w:rsid w:val="00FE7A3D"/>
    <w:rsid w:val="00FE7BE1"/>
    <w:rsid w:val="00FE7DF8"/>
    <w:rsid w:val="00FE7EAB"/>
    <w:rsid w:val="00FE7EDD"/>
    <w:rsid w:val="00FE7F72"/>
    <w:rsid w:val="00FF019E"/>
    <w:rsid w:val="00FF0278"/>
    <w:rsid w:val="00FF0365"/>
    <w:rsid w:val="00FF0593"/>
    <w:rsid w:val="00FF06C7"/>
    <w:rsid w:val="00FF0792"/>
    <w:rsid w:val="00FF07E2"/>
    <w:rsid w:val="00FF084B"/>
    <w:rsid w:val="00FF0B6F"/>
    <w:rsid w:val="00FF0BB6"/>
    <w:rsid w:val="00FF0E7D"/>
    <w:rsid w:val="00FF0F0E"/>
    <w:rsid w:val="00FF1040"/>
    <w:rsid w:val="00FF1130"/>
    <w:rsid w:val="00FF12D1"/>
    <w:rsid w:val="00FF1403"/>
    <w:rsid w:val="00FF19FC"/>
    <w:rsid w:val="00FF1A82"/>
    <w:rsid w:val="00FF1ACA"/>
    <w:rsid w:val="00FF1B61"/>
    <w:rsid w:val="00FF1BD2"/>
    <w:rsid w:val="00FF1C42"/>
    <w:rsid w:val="00FF1C9D"/>
    <w:rsid w:val="00FF1E73"/>
    <w:rsid w:val="00FF1F99"/>
    <w:rsid w:val="00FF2074"/>
    <w:rsid w:val="00FF228F"/>
    <w:rsid w:val="00FF2520"/>
    <w:rsid w:val="00FF2814"/>
    <w:rsid w:val="00FF293A"/>
    <w:rsid w:val="00FF2C84"/>
    <w:rsid w:val="00FF310C"/>
    <w:rsid w:val="00FF3407"/>
    <w:rsid w:val="00FF36A5"/>
    <w:rsid w:val="00FF3743"/>
    <w:rsid w:val="00FF3C5C"/>
    <w:rsid w:val="00FF40C0"/>
    <w:rsid w:val="00FF4266"/>
    <w:rsid w:val="00FF442C"/>
    <w:rsid w:val="00FF451A"/>
    <w:rsid w:val="00FF4730"/>
    <w:rsid w:val="00FF4D8B"/>
    <w:rsid w:val="00FF4EC0"/>
    <w:rsid w:val="00FF5069"/>
    <w:rsid w:val="00FF507F"/>
    <w:rsid w:val="00FF5196"/>
    <w:rsid w:val="00FF5298"/>
    <w:rsid w:val="00FF52F4"/>
    <w:rsid w:val="00FF55B6"/>
    <w:rsid w:val="00FF577C"/>
    <w:rsid w:val="00FF5B53"/>
    <w:rsid w:val="00FF678B"/>
    <w:rsid w:val="00FF68F8"/>
    <w:rsid w:val="00FF6A5A"/>
    <w:rsid w:val="00FF6BF0"/>
    <w:rsid w:val="00FF72B0"/>
    <w:rsid w:val="00FF74CB"/>
    <w:rsid w:val="00FF78E1"/>
    <w:rsid w:val="00FF7930"/>
    <w:rsid w:val="00FF7E68"/>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BECF50"/>
  <w15:docId w15:val="{5AC1BC60-ECE5-48B9-A18E-B7BEC226E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DCE"/>
    <w:pPr>
      <w:spacing w:after="0"/>
      <w:ind w:firstLine="567"/>
      <w:jc w:val="both"/>
    </w:pPr>
    <w:rPr>
      <w:rFonts w:ascii="Times New Roman" w:hAnsi="Times New Roman" w:cs="Times New Roman"/>
      <w:shd w:val="clear" w:color="auto" w:fill="FFFFFF"/>
    </w:rPr>
  </w:style>
  <w:style w:type="paragraph" w:styleId="Heading1">
    <w:name w:val="heading 1"/>
    <w:aliases w:val="Chuong"/>
    <w:basedOn w:val="Heading2"/>
    <w:next w:val="Normal"/>
    <w:link w:val="Heading1Char"/>
    <w:uiPriority w:val="9"/>
    <w:qFormat/>
    <w:rsid w:val="00CE6292"/>
    <w:pPr>
      <w:numPr>
        <w:ilvl w:val="0"/>
      </w:numPr>
      <w:jc w:val="center"/>
      <w:outlineLvl w:val="0"/>
    </w:pPr>
    <w:rPr>
      <w:iCs w:val="0"/>
      <w:lang w:val="es-ES"/>
    </w:rPr>
  </w:style>
  <w:style w:type="paragraph" w:styleId="Heading2">
    <w:name w:val="heading 2"/>
    <w:basedOn w:val="Normal"/>
    <w:next w:val="Normal"/>
    <w:link w:val="Heading2Char"/>
    <w:uiPriority w:val="9"/>
    <w:qFormat/>
    <w:rsid w:val="00CE6292"/>
    <w:pPr>
      <w:keepNext/>
      <w:numPr>
        <w:ilvl w:val="1"/>
        <w:numId w:val="6"/>
      </w:numPr>
      <w:spacing w:line="340" w:lineRule="exact"/>
      <w:outlineLvl w:val="1"/>
    </w:pPr>
    <w:rPr>
      <w:rFonts w:eastAsia="Times New Roman"/>
      <w:b/>
      <w:iCs/>
      <w:noProof/>
    </w:rPr>
  </w:style>
  <w:style w:type="paragraph" w:styleId="Heading3">
    <w:name w:val="heading 3"/>
    <w:basedOn w:val="Heading2"/>
    <w:next w:val="Normal"/>
    <w:link w:val="Heading3Char"/>
    <w:uiPriority w:val="9"/>
    <w:qFormat/>
    <w:rsid w:val="00CE6292"/>
    <w:pPr>
      <w:numPr>
        <w:ilvl w:val="2"/>
      </w:numPr>
      <w:outlineLvl w:val="2"/>
    </w:pPr>
    <w:rPr>
      <w:rFonts w:ascii="Times New Roman Bold" w:hAnsi="Times New Roman Bold"/>
      <w:bCs/>
      <w:i/>
      <w:iCs w:val="0"/>
    </w:rPr>
  </w:style>
  <w:style w:type="paragraph" w:styleId="Heading4">
    <w:name w:val="heading 4"/>
    <w:basedOn w:val="Normal"/>
    <w:next w:val="Normal"/>
    <w:link w:val="Heading4Char"/>
    <w:uiPriority w:val="9"/>
    <w:unhideWhenUsed/>
    <w:qFormat/>
    <w:rsid w:val="00A33435"/>
    <w:pPr>
      <w:keepNext/>
      <w:keepLines/>
      <w:numPr>
        <w:ilvl w:val="3"/>
        <w:numId w:val="6"/>
      </w:numPr>
      <w:outlineLvl w:val="3"/>
    </w:pPr>
    <w:rPr>
      <w:rFonts w:eastAsiaTheme="majorEastAsia"/>
      <w:i/>
    </w:rPr>
  </w:style>
  <w:style w:type="paragraph" w:styleId="Heading5">
    <w:name w:val="heading 5"/>
    <w:basedOn w:val="Normal"/>
    <w:next w:val="Normal"/>
    <w:link w:val="Heading5Char"/>
    <w:uiPriority w:val="9"/>
    <w:rsid w:val="00820108"/>
    <w:pPr>
      <w:keepNext/>
      <w:keepLines/>
      <w:numPr>
        <w:ilvl w:val="4"/>
        <w:numId w:val="6"/>
      </w:numPr>
      <w:spacing w:before="40" w:line="360" w:lineRule="auto"/>
      <w:outlineLvl w:val="4"/>
    </w:pPr>
    <w:rPr>
      <w:rFonts w:ascii="Cambria" w:eastAsia="Times New Roman" w:hAnsi="Cambria"/>
      <w:color w:val="365F91"/>
      <w:sz w:val="28"/>
      <w:szCs w:val="28"/>
      <w:lang w:val="vi-VN"/>
    </w:rPr>
  </w:style>
  <w:style w:type="paragraph" w:styleId="Heading6">
    <w:name w:val="heading 6"/>
    <w:basedOn w:val="Normal"/>
    <w:next w:val="Normal"/>
    <w:link w:val="Heading6Char"/>
    <w:uiPriority w:val="9"/>
    <w:rsid w:val="00820108"/>
    <w:pPr>
      <w:keepNext/>
      <w:keepLines/>
      <w:numPr>
        <w:ilvl w:val="5"/>
        <w:numId w:val="6"/>
      </w:numPr>
      <w:spacing w:before="40" w:line="360" w:lineRule="auto"/>
      <w:outlineLvl w:val="5"/>
    </w:pPr>
    <w:rPr>
      <w:rFonts w:ascii="Cambria" w:eastAsia="Times New Roman" w:hAnsi="Cambria"/>
      <w:color w:val="243F60"/>
      <w:sz w:val="28"/>
      <w:szCs w:val="28"/>
      <w:lang w:val="vi-VN"/>
    </w:rPr>
  </w:style>
  <w:style w:type="paragraph" w:styleId="Heading7">
    <w:name w:val="heading 7"/>
    <w:basedOn w:val="Normal"/>
    <w:next w:val="Normal"/>
    <w:link w:val="Heading7Char"/>
    <w:uiPriority w:val="9"/>
    <w:rsid w:val="00820108"/>
    <w:pPr>
      <w:keepNext/>
      <w:keepLines/>
      <w:numPr>
        <w:ilvl w:val="6"/>
        <w:numId w:val="6"/>
      </w:numPr>
      <w:spacing w:before="40" w:line="360" w:lineRule="auto"/>
      <w:outlineLvl w:val="6"/>
    </w:pPr>
    <w:rPr>
      <w:rFonts w:ascii="Cambria" w:eastAsia="Times New Roman" w:hAnsi="Cambria"/>
      <w:i/>
      <w:iCs/>
      <w:color w:val="243F60"/>
      <w:sz w:val="28"/>
      <w:szCs w:val="28"/>
      <w:lang w:val="vi-VN"/>
    </w:rPr>
  </w:style>
  <w:style w:type="paragraph" w:styleId="Heading8">
    <w:name w:val="heading 8"/>
    <w:basedOn w:val="Normal"/>
    <w:next w:val="Normal"/>
    <w:link w:val="Heading8Char"/>
    <w:uiPriority w:val="9"/>
    <w:rsid w:val="00820108"/>
    <w:pPr>
      <w:keepNext/>
      <w:keepLines/>
      <w:numPr>
        <w:ilvl w:val="7"/>
        <w:numId w:val="6"/>
      </w:numPr>
      <w:spacing w:before="40" w:line="360" w:lineRule="auto"/>
      <w:outlineLvl w:val="7"/>
    </w:pPr>
    <w:rPr>
      <w:rFonts w:ascii="Cambria" w:eastAsia="Times New Roman" w:hAnsi="Cambria"/>
      <w:color w:val="272727"/>
      <w:sz w:val="21"/>
      <w:szCs w:val="21"/>
      <w:lang w:val="vi-VN"/>
    </w:rPr>
  </w:style>
  <w:style w:type="paragraph" w:styleId="Heading9">
    <w:name w:val="heading 9"/>
    <w:basedOn w:val="Normal"/>
    <w:next w:val="Normal"/>
    <w:link w:val="Heading9Char"/>
    <w:uiPriority w:val="9"/>
    <w:rsid w:val="00820108"/>
    <w:pPr>
      <w:keepNext/>
      <w:keepLines/>
      <w:numPr>
        <w:ilvl w:val="8"/>
        <w:numId w:val="6"/>
      </w:numPr>
      <w:spacing w:before="40" w:line="360" w:lineRule="auto"/>
      <w:outlineLvl w:val="8"/>
    </w:pPr>
    <w:rPr>
      <w:rFonts w:ascii="Cambria" w:eastAsia="Times New Roman" w:hAnsi="Cambria"/>
      <w:i/>
      <w:iCs/>
      <w:color w:val="272727"/>
      <w:sz w:val="21"/>
      <w:szCs w:val="21"/>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E6292"/>
    <w:rPr>
      <w:rFonts w:ascii="Times New Roman" w:eastAsia="Times New Roman" w:hAnsi="Times New Roman" w:cs="Times New Roman"/>
      <w:b/>
      <w:iCs/>
      <w:noProof/>
    </w:rPr>
  </w:style>
  <w:style w:type="character" w:customStyle="1" w:styleId="Heading1Char">
    <w:name w:val="Heading 1 Char"/>
    <w:aliases w:val="Chuong Char"/>
    <w:basedOn w:val="DefaultParagraphFont"/>
    <w:link w:val="Heading1"/>
    <w:uiPriority w:val="9"/>
    <w:rsid w:val="00CE6292"/>
    <w:rPr>
      <w:rFonts w:ascii="Times New Roman" w:eastAsia="Times New Roman" w:hAnsi="Times New Roman" w:cs="Times New Roman"/>
      <w:b/>
      <w:noProof/>
      <w:lang w:val="es-ES"/>
    </w:rPr>
  </w:style>
  <w:style w:type="character" w:customStyle="1" w:styleId="Heading3Char">
    <w:name w:val="Heading 3 Char"/>
    <w:basedOn w:val="DefaultParagraphFont"/>
    <w:link w:val="Heading3"/>
    <w:uiPriority w:val="9"/>
    <w:rsid w:val="00CE6292"/>
    <w:rPr>
      <w:rFonts w:ascii="Times New Roman Bold" w:eastAsia="Times New Roman" w:hAnsi="Times New Roman Bold" w:cs="Times New Roman"/>
      <w:b/>
      <w:bCs/>
      <w:i/>
      <w:noProof/>
    </w:rPr>
  </w:style>
  <w:style w:type="character" w:customStyle="1" w:styleId="Heading4Char">
    <w:name w:val="Heading 4 Char"/>
    <w:basedOn w:val="DefaultParagraphFont"/>
    <w:link w:val="Heading4"/>
    <w:uiPriority w:val="9"/>
    <w:rsid w:val="00A33435"/>
    <w:rPr>
      <w:rFonts w:ascii="Times New Roman" w:eastAsiaTheme="majorEastAsia" w:hAnsi="Times New Roman" w:cs="Times New Roman"/>
      <w:i/>
    </w:rPr>
  </w:style>
  <w:style w:type="table" w:styleId="TableGrid">
    <w:name w:val="Table Grid"/>
    <w:basedOn w:val="TableNormal"/>
    <w:uiPriority w:val="39"/>
    <w:rsid w:val="00D350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35050"/>
    <w:pPr>
      <w:tabs>
        <w:tab w:val="center" w:pos="4680"/>
        <w:tab w:val="right" w:pos="9360"/>
      </w:tabs>
      <w:spacing w:line="240" w:lineRule="auto"/>
    </w:pPr>
  </w:style>
  <w:style w:type="character" w:customStyle="1" w:styleId="HeaderChar">
    <w:name w:val="Header Char"/>
    <w:basedOn w:val="DefaultParagraphFont"/>
    <w:link w:val="Header"/>
    <w:uiPriority w:val="99"/>
    <w:rsid w:val="00D35050"/>
  </w:style>
  <w:style w:type="paragraph" w:styleId="Footer">
    <w:name w:val="footer"/>
    <w:basedOn w:val="Normal"/>
    <w:link w:val="FooterChar"/>
    <w:unhideWhenUsed/>
    <w:rsid w:val="00D35050"/>
    <w:pPr>
      <w:tabs>
        <w:tab w:val="center" w:pos="4680"/>
        <w:tab w:val="right" w:pos="9360"/>
      </w:tabs>
      <w:spacing w:line="240" w:lineRule="auto"/>
    </w:pPr>
  </w:style>
  <w:style w:type="character" w:customStyle="1" w:styleId="FooterChar">
    <w:name w:val="Footer Char"/>
    <w:basedOn w:val="DefaultParagraphFont"/>
    <w:link w:val="Footer"/>
    <w:rsid w:val="00D35050"/>
  </w:style>
  <w:style w:type="paragraph" w:styleId="ListParagraph">
    <w:name w:val="List Paragraph"/>
    <w:basedOn w:val="Normal"/>
    <w:link w:val="ListParagraphChar"/>
    <w:uiPriority w:val="34"/>
    <w:qFormat/>
    <w:rsid w:val="00D35050"/>
    <w:pPr>
      <w:ind w:left="720"/>
      <w:contextualSpacing/>
    </w:pPr>
  </w:style>
  <w:style w:type="character" w:styleId="PlaceholderText">
    <w:name w:val="Placeholder Text"/>
    <w:basedOn w:val="DefaultParagraphFont"/>
    <w:uiPriority w:val="99"/>
    <w:semiHidden/>
    <w:rsid w:val="00D35050"/>
    <w:rPr>
      <w:color w:val="808080"/>
    </w:rPr>
  </w:style>
  <w:style w:type="paragraph" w:styleId="NormalWeb">
    <w:name w:val="Normal (Web)"/>
    <w:basedOn w:val="Normal"/>
    <w:uiPriority w:val="99"/>
    <w:unhideWhenUsed/>
    <w:rsid w:val="00103BA0"/>
    <w:pPr>
      <w:spacing w:before="100" w:beforeAutospacing="1" w:after="100" w:afterAutospacing="1" w:line="240" w:lineRule="auto"/>
    </w:pPr>
    <w:rPr>
      <w:rFonts w:eastAsia="Times New Roman"/>
      <w:sz w:val="24"/>
      <w:szCs w:val="24"/>
    </w:rPr>
  </w:style>
  <w:style w:type="paragraph" w:styleId="BodyText">
    <w:name w:val="Body Text"/>
    <w:basedOn w:val="Normal"/>
    <w:link w:val="BodyTextChar"/>
    <w:rsid w:val="00103BA0"/>
    <w:pPr>
      <w:spacing w:line="240" w:lineRule="auto"/>
    </w:pPr>
    <w:rPr>
      <w:rFonts w:ascii=".VnTime" w:eastAsia="Times New Roman" w:hAnsi=".VnTime"/>
      <w:sz w:val="32"/>
      <w:szCs w:val="20"/>
    </w:rPr>
  </w:style>
  <w:style w:type="character" w:customStyle="1" w:styleId="BodyTextChar">
    <w:name w:val="Body Text Char"/>
    <w:basedOn w:val="DefaultParagraphFont"/>
    <w:link w:val="BodyText"/>
    <w:rsid w:val="00103BA0"/>
    <w:rPr>
      <w:rFonts w:ascii=".VnTime" w:eastAsia="Times New Roman" w:hAnsi=".VnTime" w:cs="Times New Roman"/>
      <w:sz w:val="32"/>
      <w:szCs w:val="20"/>
    </w:rPr>
  </w:style>
  <w:style w:type="paragraph" w:customStyle="1" w:styleId="Danhmuchinh">
    <w:name w:val="Danh muc hinh"/>
    <w:basedOn w:val="Normal"/>
    <w:qFormat/>
    <w:rsid w:val="00103BA0"/>
    <w:pPr>
      <w:spacing w:line="360" w:lineRule="auto"/>
      <w:ind w:firstLine="720"/>
      <w:jc w:val="center"/>
    </w:pPr>
    <w:rPr>
      <w:rFonts w:eastAsia="Times New Roman"/>
      <w:b/>
      <w:bCs/>
      <w:spacing w:val="-8"/>
      <w:sz w:val="28"/>
      <w:szCs w:val="28"/>
      <w:lang w:val="vi-VN"/>
    </w:rPr>
  </w:style>
  <w:style w:type="paragraph" w:customStyle="1" w:styleId="2">
    <w:name w:val="2"/>
    <w:basedOn w:val="Normal"/>
    <w:rsid w:val="00103BA0"/>
    <w:pPr>
      <w:spacing w:line="312" w:lineRule="auto"/>
    </w:pPr>
    <w:rPr>
      <w:rFonts w:ascii=".VnTime" w:eastAsia="Times New Roman" w:hAnsi=".VnTime"/>
      <w:sz w:val="28"/>
      <w:szCs w:val="24"/>
      <w:lang w:val="vi-VN"/>
    </w:rPr>
  </w:style>
  <w:style w:type="paragraph" w:customStyle="1" w:styleId="Danhmucbang">
    <w:name w:val="Danh muc bang"/>
    <w:basedOn w:val="Caption"/>
    <w:qFormat/>
    <w:rsid w:val="00103BA0"/>
    <w:pPr>
      <w:spacing w:line="360" w:lineRule="auto"/>
      <w:jc w:val="center"/>
    </w:pPr>
    <w:rPr>
      <w:rFonts w:eastAsia="Times New Roman"/>
      <w:color w:val="auto"/>
      <w:spacing w:val="-8"/>
      <w:sz w:val="28"/>
      <w:szCs w:val="28"/>
      <w:lang w:val="vi-VN"/>
    </w:rPr>
  </w:style>
  <w:style w:type="paragraph" w:styleId="Caption">
    <w:name w:val="caption"/>
    <w:basedOn w:val="Normal"/>
    <w:next w:val="Normal"/>
    <w:uiPriority w:val="35"/>
    <w:unhideWhenUsed/>
    <w:qFormat/>
    <w:rsid w:val="00103BA0"/>
    <w:pPr>
      <w:spacing w:line="240" w:lineRule="auto"/>
    </w:pPr>
    <w:rPr>
      <w:b/>
      <w:bCs/>
      <w:color w:val="4F81BD" w:themeColor="accent1"/>
      <w:sz w:val="18"/>
      <w:szCs w:val="18"/>
    </w:rPr>
  </w:style>
  <w:style w:type="paragraph" w:styleId="BalloonText">
    <w:name w:val="Balloon Text"/>
    <w:basedOn w:val="Normal"/>
    <w:link w:val="BalloonTextChar"/>
    <w:uiPriority w:val="99"/>
    <w:semiHidden/>
    <w:unhideWhenUsed/>
    <w:rsid w:val="00103BA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3BA0"/>
    <w:rPr>
      <w:rFonts w:ascii="Tahoma" w:hAnsi="Tahoma" w:cs="Tahoma"/>
      <w:sz w:val="16"/>
      <w:szCs w:val="16"/>
    </w:rPr>
  </w:style>
  <w:style w:type="character" w:styleId="Strong">
    <w:name w:val="Strong"/>
    <w:basedOn w:val="DefaultParagraphFont"/>
    <w:uiPriority w:val="22"/>
    <w:rsid w:val="00103BA0"/>
    <w:rPr>
      <w:b/>
      <w:bCs/>
    </w:rPr>
  </w:style>
  <w:style w:type="character" w:customStyle="1" w:styleId="apple-converted-space">
    <w:name w:val="apple-converted-space"/>
    <w:basedOn w:val="DefaultParagraphFont"/>
    <w:rsid w:val="00103BA0"/>
  </w:style>
  <w:style w:type="character" w:styleId="Hyperlink">
    <w:name w:val="Hyperlink"/>
    <w:basedOn w:val="DefaultParagraphFont"/>
    <w:uiPriority w:val="99"/>
    <w:unhideWhenUsed/>
    <w:rsid w:val="00103BA0"/>
    <w:rPr>
      <w:color w:val="0000FF" w:themeColor="hyperlink"/>
      <w:u w:val="single"/>
    </w:rPr>
  </w:style>
  <w:style w:type="paragraph" w:styleId="TOCHeading">
    <w:name w:val="TOC Heading"/>
    <w:basedOn w:val="Heading1"/>
    <w:next w:val="Normal"/>
    <w:uiPriority w:val="39"/>
    <w:unhideWhenUsed/>
    <w:qFormat/>
    <w:rsid w:val="00103BA0"/>
    <w:pPr>
      <w:keepLines/>
      <w:spacing w:before="480"/>
      <w:jc w:val="left"/>
      <w:outlineLvl w:val="9"/>
    </w:pPr>
    <w:rPr>
      <w:rFonts w:asciiTheme="majorHAnsi" w:eastAsiaTheme="majorEastAsia" w:hAnsiTheme="majorHAnsi" w:cstheme="majorBidi"/>
      <w:bCs/>
      <w:color w:val="365F91" w:themeColor="accent1" w:themeShade="BF"/>
      <w:szCs w:val="28"/>
    </w:rPr>
  </w:style>
  <w:style w:type="paragraph" w:styleId="TOC1">
    <w:name w:val="toc 1"/>
    <w:basedOn w:val="Normal"/>
    <w:next w:val="Normal"/>
    <w:autoRedefine/>
    <w:uiPriority w:val="39"/>
    <w:unhideWhenUsed/>
    <w:rsid w:val="00103BA0"/>
    <w:pPr>
      <w:spacing w:after="100"/>
    </w:pPr>
  </w:style>
  <w:style w:type="paragraph" w:styleId="TOC2">
    <w:name w:val="toc 2"/>
    <w:basedOn w:val="Normal"/>
    <w:next w:val="Normal"/>
    <w:autoRedefine/>
    <w:uiPriority w:val="39"/>
    <w:unhideWhenUsed/>
    <w:rsid w:val="00A45C6D"/>
    <w:pPr>
      <w:tabs>
        <w:tab w:val="right" w:leader="dot" w:pos="8778"/>
      </w:tabs>
      <w:spacing w:line="360" w:lineRule="auto"/>
      <w:ind w:left="851" w:right="397" w:hanging="631"/>
    </w:pPr>
  </w:style>
  <w:style w:type="paragraph" w:styleId="TOC3">
    <w:name w:val="toc 3"/>
    <w:basedOn w:val="Normal"/>
    <w:next w:val="Normal"/>
    <w:autoRedefine/>
    <w:uiPriority w:val="39"/>
    <w:unhideWhenUsed/>
    <w:rsid w:val="00A45C6D"/>
    <w:pPr>
      <w:tabs>
        <w:tab w:val="left" w:pos="1320"/>
        <w:tab w:val="right" w:leader="dot" w:pos="8778"/>
      </w:tabs>
      <w:spacing w:line="360" w:lineRule="auto"/>
      <w:ind w:left="1134" w:right="397" w:hanging="694"/>
    </w:pPr>
  </w:style>
  <w:style w:type="character" w:customStyle="1" w:styleId="Bodytext0">
    <w:name w:val="Body text_"/>
    <w:basedOn w:val="DefaultParagraphFont"/>
    <w:link w:val="BodyText1"/>
    <w:locked/>
    <w:rsid w:val="000A6B5D"/>
    <w:rPr>
      <w:rFonts w:ascii="Times New Roman" w:hAnsi="Times New Roman" w:cs="Times New Roman"/>
      <w:sz w:val="27"/>
      <w:szCs w:val="27"/>
      <w:shd w:val="clear" w:color="auto" w:fill="FFFFFF"/>
    </w:rPr>
  </w:style>
  <w:style w:type="paragraph" w:customStyle="1" w:styleId="BodyText1">
    <w:name w:val="Body Text1"/>
    <w:basedOn w:val="Normal"/>
    <w:link w:val="Bodytext0"/>
    <w:rsid w:val="000A6B5D"/>
    <w:pPr>
      <w:widowControl w:val="0"/>
      <w:shd w:val="clear" w:color="auto" w:fill="FFFFFF"/>
      <w:spacing w:line="283" w:lineRule="exact"/>
    </w:pPr>
    <w:rPr>
      <w:sz w:val="27"/>
      <w:szCs w:val="27"/>
    </w:rPr>
  </w:style>
  <w:style w:type="character" w:customStyle="1" w:styleId="BodytextBold">
    <w:name w:val="Body text + Bold"/>
    <w:basedOn w:val="Bodytext0"/>
    <w:uiPriority w:val="99"/>
    <w:rsid w:val="000C2137"/>
    <w:rPr>
      <w:rFonts w:ascii="Times New Roman" w:hAnsi="Times New Roman" w:cs="Times New Roman"/>
      <w:b/>
      <w:bCs/>
      <w:sz w:val="27"/>
      <w:szCs w:val="27"/>
      <w:shd w:val="clear" w:color="auto" w:fill="FFFFFF"/>
    </w:rPr>
  </w:style>
  <w:style w:type="paragraph" w:customStyle="1" w:styleId="BodyText2">
    <w:name w:val="Body Text2"/>
    <w:basedOn w:val="Normal"/>
    <w:rsid w:val="000C2137"/>
    <w:pPr>
      <w:widowControl w:val="0"/>
      <w:shd w:val="clear" w:color="auto" w:fill="FFFFFF"/>
      <w:spacing w:line="283" w:lineRule="exact"/>
    </w:pPr>
    <w:rPr>
      <w:rFonts w:eastAsia="Times New Roman"/>
      <w:sz w:val="27"/>
      <w:szCs w:val="27"/>
    </w:rPr>
  </w:style>
  <w:style w:type="paragraph" w:customStyle="1" w:styleId="BodyText3">
    <w:name w:val="Body Text3"/>
    <w:basedOn w:val="Normal"/>
    <w:rsid w:val="00E26B27"/>
    <w:pPr>
      <w:widowControl w:val="0"/>
      <w:shd w:val="clear" w:color="auto" w:fill="FFFFFF"/>
      <w:spacing w:line="283" w:lineRule="exact"/>
    </w:pPr>
    <w:rPr>
      <w:rFonts w:eastAsia="Times New Roman"/>
      <w:sz w:val="27"/>
      <w:szCs w:val="27"/>
    </w:rPr>
  </w:style>
  <w:style w:type="paragraph" w:customStyle="1" w:styleId="Bodytext10">
    <w:name w:val="Body text1"/>
    <w:basedOn w:val="Normal"/>
    <w:uiPriority w:val="99"/>
    <w:rsid w:val="00E26B27"/>
    <w:pPr>
      <w:widowControl w:val="0"/>
      <w:shd w:val="clear" w:color="auto" w:fill="FFFFFF"/>
      <w:spacing w:after="60" w:line="240" w:lineRule="atLeast"/>
      <w:jc w:val="center"/>
    </w:pPr>
    <w:rPr>
      <w:rFonts w:ascii="Courier New" w:eastAsia="Times New Roman" w:hAnsi="Courier New"/>
      <w:b/>
      <w:bCs/>
      <w:sz w:val="27"/>
      <w:szCs w:val="27"/>
      <w:lang w:val="vi-VN"/>
    </w:rPr>
  </w:style>
  <w:style w:type="paragraph" w:customStyle="1" w:styleId="BodyText4">
    <w:name w:val="Body Text4"/>
    <w:basedOn w:val="Normal"/>
    <w:uiPriority w:val="99"/>
    <w:rsid w:val="00E9257B"/>
    <w:pPr>
      <w:widowControl w:val="0"/>
      <w:shd w:val="clear" w:color="auto" w:fill="FFFFFF"/>
      <w:spacing w:line="283" w:lineRule="exact"/>
    </w:pPr>
    <w:rPr>
      <w:rFonts w:eastAsia="Times New Roman"/>
      <w:sz w:val="27"/>
      <w:szCs w:val="27"/>
    </w:rPr>
  </w:style>
  <w:style w:type="character" w:styleId="Emphasis">
    <w:name w:val="Emphasis"/>
    <w:basedOn w:val="DefaultParagraphFont"/>
    <w:uiPriority w:val="20"/>
    <w:qFormat/>
    <w:rsid w:val="006F6043"/>
    <w:rPr>
      <w:i/>
      <w:iCs/>
    </w:rPr>
  </w:style>
  <w:style w:type="character" w:customStyle="1" w:styleId="reference-text">
    <w:name w:val="reference-text"/>
    <w:basedOn w:val="DefaultParagraphFont"/>
    <w:rsid w:val="00237433"/>
  </w:style>
  <w:style w:type="character" w:customStyle="1" w:styleId="Bodytext6">
    <w:name w:val="Body text (6)_"/>
    <w:basedOn w:val="DefaultParagraphFont"/>
    <w:link w:val="Bodytext60"/>
    <w:uiPriority w:val="99"/>
    <w:locked/>
    <w:rsid w:val="00832199"/>
    <w:rPr>
      <w:rFonts w:ascii="Trebuchet MS" w:hAnsi="Trebuchet MS" w:cs="Trebuchet MS"/>
      <w:b/>
      <w:bCs/>
      <w:sz w:val="15"/>
      <w:szCs w:val="15"/>
      <w:shd w:val="clear" w:color="auto" w:fill="FFFFFF"/>
    </w:rPr>
  </w:style>
  <w:style w:type="paragraph" w:customStyle="1" w:styleId="Bodytext60">
    <w:name w:val="Body text (6)"/>
    <w:basedOn w:val="Normal"/>
    <w:link w:val="Bodytext6"/>
    <w:uiPriority w:val="99"/>
    <w:rsid w:val="00832199"/>
    <w:pPr>
      <w:widowControl w:val="0"/>
      <w:shd w:val="clear" w:color="auto" w:fill="FFFFFF"/>
      <w:spacing w:before="240" w:after="2280" w:line="211" w:lineRule="exact"/>
    </w:pPr>
    <w:rPr>
      <w:rFonts w:ascii="Trebuchet MS" w:hAnsi="Trebuchet MS" w:cs="Trebuchet MS"/>
      <w:b/>
      <w:bCs/>
      <w:sz w:val="15"/>
      <w:szCs w:val="15"/>
    </w:rPr>
  </w:style>
  <w:style w:type="character" w:customStyle="1" w:styleId="BodytextItalic">
    <w:name w:val="Body text + Italic"/>
    <w:rsid w:val="00832199"/>
    <w:rPr>
      <w:rFonts w:ascii="Times New Roman" w:hAnsi="Times New Roman" w:cs="Times New Roman"/>
      <w:i/>
      <w:iCs/>
      <w:sz w:val="27"/>
      <w:szCs w:val="27"/>
      <w:shd w:val="clear" w:color="auto" w:fill="FFFFFF"/>
    </w:rPr>
  </w:style>
  <w:style w:type="character" w:customStyle="1" w:styleId="BodytextSpacing1pt">
    <w:name w:val="Body text + Spacing 1 pt"/>
    <w:uiPriority w:val="99"/>
    <w:rsid w:val="00832199"/>
    <w:rPr>
      <w:rFonts w:ascii="Times New Roman" w:hAnsi="Times New Roman" w:cs="Times New Roman"/>
      <w:spacing w:val="30"/>
      <w:sz w:val="27"/>
      <w:szCs w:val="27"/>
      <w:shd w:val="clear" w:color="auto" w:fill="FFFFFF"/>
    </w:rPr>
  </w:style>
  <w:style w:type="paragraph" w:styleId="Title">
    <w:name w:val="Title"/>
    <w:aliases w:val="Bang"/>
    <w:basedOn w:val="Normal"/>
    <w:link w:val="TitleChar1"/>
    <w:uiPriority w:val="10"/>
    <w:qFormat/>
    <w:rsid w:val="008A7A93"/>
    <w:pPr>
      <w:tabs>
        <w:tab w:val="left" w:pos="0"/>
        <w:tab w:val="left" w:pos="357"/>
        <w:tab w:val="left" w:pos="459"/>
        <w:tab w:val="left" w:pos="567"/>
      </w:tabs>
      <w:spacing w:line="340" w:lineRule="exact"/>
      <w:jc w:val="center"/>
    </w:pPr>
    <w:rPr>
      <w:rFonts w:eastAsia="Times New Roman"/>
      <w:b/>
      <w:color w:val="000000" w:themeColor="text1"/>
    </w:rPr>
  </w:style>
  <w:style w:type="character" w:customStyle="1" w:styleId="TitleChar1">
    <w:name w:val="Title Char1"/>
    <w:aliases w:val="Bang Char1"/>
    <w:link w:val="Title"/>
    <w:uiPriority w:val="10"/>
    <w:rsid w:val="008A7A93"/>
    <w:rPr>
      <w:rFonts w:ascii="Times New Roman" w:eastAsia="Times New Roman" w:hAnsi="Times New Roman" w:cs="Times New Roman"/>
      <w:b/>
      <w:color w:val="000000" w:themeColor="text1"/>
    </w:rPr>
  </w:style>
  <w:style w:type="character" w:customStyle="1" w:styleId="TitleChar">
    <w:name w:val="Title Char"/>
    <w:aliases w:val="Bang Char"/>
    <w:basedOn w:val="DefaultParagraphFont"/>
    <w:uiPriority w:val="10"/>
    <w:rsid w:val="008F2112"/>
    <w:rPr>
      <w:rFonts w:asciiTheme="majorHAnsi" w:eastAsiaTheme="majorEastAsia" w:hAnsiTheme="majorHAnsi" w:cstheme="majorBidi"/>
      <w:color w:val="17365D" w:themeColor="text2" w:themeShade="BF"/>
      <w:spacing w:val="5"/>
      <w:kern w:val="28"/>
      <w:sz w:val="52"/>
      <w:szCs w:val="52"/>
    </w:rPr>
  </w:style>
  <w:style w:type="paragraph" w:styleId="BodyText20">
    <w:name w:val="Body Text 2"/>
    <w:basedOn w:val="Normal"/>
    <w:link w:val="BodyText2Char"/>
    <w:uiPriority w:val="99"/>
    <w:semiHidden/>
    <w:unhideWhenUsed/>
    <w:rsid w:val="00014551"/>
    <w:pPr>
      <w:spacing w:after="120" w:line="480" w:lineRule="auto"/>
    </w:pPr>
  </w:style>
  <w:style w:type="character" w:customStyle="1" w:styleId="BodyText2Char">
    <w:name w:val="Body Text 2 Char"/>
    <w:basedOn w:val="DefaultParagraphFont"/>
    <w:link w:val="BodyText20"/>
    <w:uiPriority w:val="99"/>
    <w:semiHidden/>
    <w:rsid w:val="00014551"/>
  </w:style>
  <w:style w:type="table" w:customStyle="1" w:styleId="TableGrid1">
    <w:name w:val="Table Grid1"/>
    <w:basedOn w:val="TableNormal"/>
    <w:next w:val="TableGrid"/>
    <w:uiPriority w:val="39"/>
    <w:rsid w:val="00963D4C"/>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22A5"/>
    <w:rPr>
      <w:sz w:val="16"/>
      <w:szCs w:val="16"/>
    </w:rPr>
  </w:style>
  <w:style w:type="paragraph" w:styleId="CommentText">
    <w:name w:val="annotation text"/>
    <w:basedOn w:val="Normal"/>
    <w:link w:val="CommentTextChar"/>
    <w:uiPriority w:val="99"/>
    <w:unhideWhenUsed/>
    <w:rsid w:val="008F22A5"/>
    <w:pPr>
      <w:spacing w:line="240" w:lineRule="auto"/>
    </w:pPr>
    <w:rPr>
      <w:sz w:val="20"/>
      <w:szCs w:val="20"/>
    </w:rPr>
  </w:style>
  <w:style w:type="character" w:customStyle="1" w:styleId="CommentTextChar">
    <w:name w:val="Comment Text Char"/>
    <w:basedOn w:val="DefaultParagraphFont"/>
    <w:link w:val="CommentText"/>
    <w:uiPriority w:val="99"/>
    <w:rsid w:val="008F22A5"/>
    <w:rPr>
      <w:sz w:val="20"/>
      <w:szCs w:val="20"/>
    </w:rPr>
  </w:style>
  <w:style w:type="paragraph" w:styleId="CommentSubject">
    <w:name w:val="annotation subject"/>
    <w:basedOn w:val="CommentText"/>
    <w:next w:val="CommentText"/>
    <w:link w:val="CommentSubjectChar"/>
    <w:uiPriority w:val="99"/>
    <w:semiHidden/>
    <w:unhideWhenUsed/>
    <w:rsid w:val="008F22A5"/>
    <w:rPr>
      <w:b/>
      <w:bCs/>
    </w:rPr>
  </w:style>
  <w:style w:type="character" w:customStyle="1" w:styleId="CommentSubjectChar">
    <w:name w:val="Comment Subject Char"/>
    <w:basedOn w:val="CommentTextChar"/>
    <w:link w:val="CommentSubject"/>
    <w:uiPriority w:val="99"/>
    <w:semiHidden/>
    <w:rsid w:val="008F22A5"/>
    <w:rPr>
      <w:b/>
      <w:bCs/>
      <w:sz w:val="20"/>
      <w:szCs w:val="20"/>
    </w:rPr>
  </w:style>
  <w:style w:type="character" w:customStyle="1" w:styleId="cf01">
    <w:name w:val="cf01"/>
    <w:basedOn w:val="DefaultParagraphFont"/>
    <w:rsid w:val="00B71C7A"/>
    <w:rPr>
      <w:rFonts w:ascii="Segoe UI" w:hAnsi="Segoe UI" w:cs="Segoe UI" w:hint="default"/>
      <w:sz w:val="18"/>
      <w:szCs w:val="18"/>
    </w:rPr>
  </w:style>
  <w:style w:type="paragraph" w:customStyle="1" w:styleId="a">
    <w:name w:val="a"/>
    <w:basedOn w:val="Heading1"/>
    <w:link w:val="aChar"/>
    <w:qFormat/>
    <w:rsid w:val="006F0088"/>
    <w:rPr>
      <w:lang w:val="vi-VN"/>
    </w:rPr>
  </w:style>
  <w:style w:type="paragraph" w:customStyle="1" w:styleId="a1">
    <w:name w:val="a1"/>
    <w:basedOn w:val="Heading1"/>
    <w:link w:val="a1Char"/>
    <w:qFormat/>
    <w:rsid w:val="006F0088"/>
    <w:rPr>
      <w:szCs w:val="28"/>
      <w:lang w:val="vi-VN" w:eastAsia="vi-VN"/>
    </w:rPr>
  </w:style>
  <w:style w:type="character" w:customStyle="1" w:styleId="aChar">
    <w:name w:val="a Char"/>
    <w:basedOn w:val="Heading1Char"/>
    <w:link w:val="a"/>
    <w:rsid w:val="006F0088"/>
    <w:rPr>
      <w:rFonts w:ascii="Times New Roman" w:eastAsia="Times New Roman" w:hAnsi="Times New Roman" w:cs="Times New Roman"/>
      <w:b/>
      <w:noProof/>
      <w:spacing w:val="4"/>
      <w:lang w:val="vi-VN"/>
    </w:rPr>
  </w:style>
  <w:style w:type="paragraph" w:customStyle="1" w:styleId="a2">
    <w:name w:val="a2"/>
    <w:basedOn w:val="Heading2"/>
    <w:link w:val="a2Char"/>
    <w:qFormat/>
    <w:rsid w:val="006F0088"/>
    <w:rPr>
      <w:rFonts w:ascii="Times New Roman Bold" w:hAnsi="Times New Roman Bold"/>
      <w:lang w:val="vi-VN" w:eastAsia="vi-VN"/>
    </w:rPr>
  </w:style>
  <w:style w:type="character" w:customStyle="1" w:styleId="a1Char">
    <w:name w:val="a1 Char"/>
    <w:basedOn w:val="Heading1Char"/>
    <w:link w:val="a1"/>
    <w:rsid w:val="006F0088"/>
    <w:rPr>
      <w:rFonts w:ascii="Times New Roman" w:eastAsia="Times New Roman" w:hAnsi="Times New Roman" w:cs="Times New Roman"/>
      <w:b/>
      <w:noProof/>
      <w:spacing w:val="4"/>
      <w:szCs w:val="28"/>
      <w:lang w:val="vi-VN" w:eastAsia="vi-VN"/>
    </w:rPr>
  </w:style>
  <w:style w:type="paragraph" w:customStyle="1" w:styleId="ahinh">
    <w:name w:val="ahinh"/>
    <w:basedOn w:val="Normal"/>
    <w:link w:val="ahinhChar"/>
    <w:qFormat/>
    <w:rsid w:val="00F01291"/>
    <w:pPr>
      <w:ind w:right="198" w:firstLine="426"/>
      <w:jc w:val="center"/>
    </w:pPr>
    <w:rPr>
      <w:b/>
      <w:bCs/>
    </w:rPr>
  </w:style>
  <w:style w:type="character" w:customStyle="1" w:styleId="a2Char">
    <w:name w:val="a2 Char"/>
    <w:basedOn w:val="Heading2Char"/>
    <w:link w:val="a2"/>
    <w:rsid w:val="006F0088"/>
    <w:rPr>
      <w:rFonts w:ascii="Times New Roman Bold" w:eastAsia="Times New Roman" w:hAnsi="Times New Roman Bold" w:cs="Times New Roman"/>
      <w:b/>
      <w:iCs/>
      <w:noProof/>
      <w:spacing w:val="4"/>
      <w:lang w:val="vi-VN" w:eastAsia="vi-VN"/>
    </w:rPr>
  </w:style>
  <w:style w:type="paragraph" w:customStyle="1" w:styleId="abang">
    <w:name w:val="abang"/>
    <w:basedOn w:val="Normal"/>
    <w:link w:val="abangChar"/>
    <w:qFormat/>
    <w:rsid w:val="00BB7B56"/>
    <w:pPr>
      <w:ind w:firstLine="0"/>
      <w:jc w:val="center"/>
    </w:pPr>
    <w:rPr>
      <w:b/>
      <w:bCs/>
    </w:rPr>
  </w:style>
  <w:style w:type="character" w:customStyle="1" w:styleId="ahinhChar">
    <w:name w:val="ahinh Char"/>
    <w:basedOn w:val="Heading1Char"/>
    <w:link w:val="ahinh"/>
    <w:rsid w:val="00F01291"/>
    <w:rPr>
      <w:rFonts w:ascii="Times New Roman" w:eastAsia="Times New Roman" w:hAnsi="Times New Roman" w:cs="Times New Roman"/>
      <w:b/>
      <w:bCs/>
      <w:noProof/>
      <w:spacing w:val="4"/>
      <w:lang w:val="es-ES"/>
    </w:rPr>
  </w:style>
  <w:style w:type="character" w:customStyle="1" w:styleId="abangChar">
    <w:name w:val="abang Char"/>
    <w:basedOn w:val="Heading1Char"/>
    <w:link w:val="abang"/>
    <w:rsid w:val="00BB7B56"/>
    <w:rPr>
      <w:rFonts w:ascii="Times New Roman" w:eastAsia="Times New Roman" w:hAnsi="Times New Roman" w:cs="Times New Roman"/>
      <w:b/>
      <w:bCs/>
      <w:noProof/>
      <w:spacing w:val="4"/>
      <w:lang w:val="es-ES"/>
    </w:rPr>
  </w:style>
  <w:style w:type="paragraph" w:styleId="BodyTextIndent3">
    <w:name w:val="Body Text Indent 3"/>
    <w:basedOn w:val="Normal"/>
    <w:link w:val="BodyTextIndent3Char"/>
    <w:uiPriority w:val="99"/>
    <w:unhideWhenUsed/>
    <w:rsid w:val="00B817DB"/>
    <w:pPr>
      <w:spacing w:after="120"/>
      <w:ind w:left="360"/>
    </w:pPr>
    <w:rPr>
      <w:sz w:val="16"/>
      <w:szCs w:val="16"/>
    </w:rPr>
  </w:style>
  <w:style w:type="character" w:customStyle="1" w:styleId="BodyTextIndent3Char">
    <w:name w:val="Body Text Indent 3 Char"/>
    <w:basedOn w:val="DefaultParagraphFont"/>
    <w:link w:val="BodyTextIndent3"/>
    <w:uiPriority w:val="99"/>
    <w:rsid w:val="00B817DB"/>
    <w:rPr>
      <w:sz w:val="16"/>
      <w:szCs w:val="16"/>
    </w:rPr>
  </w:style>
  <w:style w:type="character" w:customStyle="1" w:styleId="Heading5Char">
    <w:name w:val="Heading 5 Char"/>
    <w:basedOn w:val="DefaultParagraphFont"/>
    <w:link w:val="Heading5"/>
    <w:uiPriority w:val="9"/>
    <w:rsid w:val="00820108"/>
    <w:rPr>
      <w:rFonts w:ascii="Cambria" w:eastAsia="Times New Roman" w:hAnsi="Cambria" w:cs="Times New Roman"/>
      <w:color w:val="365F91"/>
      <w:sz w:val="28"/>
      <w:szCs w:val="28"/>
      <w:lang w:val="vi-VN"/>
    </w:rPr>
  </w:style>
  <w:style w:type="character" w:customStyle="1" w:styleId="Heading6Char">
    <w:name w:val="Heading 6 Char"/>
    <w:basedOn w:val="DefaultParagraphFont"/>
    <w:link w:val="Heading6"/>
    <w:uiPriority w:val="9"/>
    <w:rsid w:val="00820108"/>
    <w:rPr>
      <w:rFonts w:ascii="Cambria" w:eastAsia="Times New Roman" w:hAnsi="Cambria" w:cs="Times New Roman"/>
      <w:color w:val="243F60"/>
      <w:sz w:val="28"/>
      <w:szCs w:val="28"/>
      <w:lang w:val="vi-VN"/>
    </w:rPr>
  </w:style>
  <w:style w:type="character" w:customStyle="1" w:styleId="Heading7Char">
    <w:name w:val="Heading 7 Char"/>
    <w:basedOn w:val="DefaultParagraphFont"/>
    <w:link w:val="Heading7"/>
    <w:uiPriority w:val="9"/>
    <w:rsid w:val="00820108"/>
    <w:rPr>
      <w:rFonts w:ascii="Cambria" w:eastAsia="Times New Roman" w:hAnsi="Cambria" w:cs="Times New Roman"/>
      <w:i/>
      <w:iCs/>
      <w:color w:val="243F60"/>
      <w:sz w:val="28"/>
      <w:szCs w:val="28"/>
      <w:lang w:val="vi-VN"/>
    </w:rPr>
  </w:style>
  <w:style w:type="character" w:customStyle="1" w:styleId="Heading8Char">
    <w:name w:val="Heading 8 Char"/>
    <w:basedOn w:val="DefaultParagraphFont"/>
    <w:link w:val="Heading8"/>
    <w:uiPriority w:val="9"/>
    <w:rsid w:val="00820108"/>
    <w:rPr>
      <w:rFonts w:ascii="Cambria" w:eastAsia="Times New Roman" w:hAnsi="Cambria" w:cs="Times New Roman"/>
      <w:color w:val="272727"/>
      <w:sz w:val="21"/>
      <w:szCs w:val="21"/>
      <w:lang w:val="vi-VN"/>
    </w:rPr>
  </w:style>
  <w:style w:type="character" w:customStyle="1" w:styleId="Heading9Char">
    <w:name w:val="Heading 9 Char"/>
    <w:basedOn w:val="DefaultParagraphFont"/>
    <w:link w:val="Heading9"/>
    <w:uiPriority w:val="9"/>
    <w:rsid w:val="00820108"/>
    <w:rPr>
      <w:rFonts w:ascii="Cambria" w:eastAsia="Times New Roman" w:hAnsi="Cambria" w:cs="Times New Roman"/>
      <w:i/>
      <w:iCs/>
      <w:color w:val="272727"/>
      <w:sz w:val="21"/>
      <w:szCs w:val="21"/>
      <w:lang w:val="vi-VN"/>
    </w:rPr>
  </w:style>
  <w:style w:type="paragraph" w:customStyle="1" w:styleId="A10">
    <w:name w:val="A1"/>
    <w:basedOn w:val="Heading2"/>
    <w:link w:val="A1Char0"/>
    <w:rsid w:val="00820108"/>
    <w:pPr>
      <w:keepLines/>
    </w:pPr>
    <w:rPr>
      <w:i/>
      <w:color w:val="000000" w:themeColor="text1"/>
      <w:szCs w:val="28"/>
    </w:rPr>
  </w:style>
  <w:style w:type="paragraph" w:customStyle="1" w:styleId="A20">
    <w:name w:val="A2"/>
    <w:basedOn w:val="Heading3"/>
    <w:link w:val="A2Char0"/>
    <w:rsid w:val="00820108"/>
    <w:pPr>
      <w:keepLines/>
    </w:pPr>
    <w:rPr>
      <w:b w:val="0"/>
      <w:i w:val="0"/>
      <w:color w:val="000000" w:themeColor="text1"/>
      <w:lang w:val="en-GB"/>
    </w:rPr>
  </w:style>
  <w:style w:type="character" w:customStyle="1" w:styleId="A1Char0">
    <w:name w:val="A1 Char"/>
    <w:basedOn w:val="DefaultParagraphFont"/>
    <w:link w:val="A10"/>
    <w:rsid w:val="00820108"/>
    <w:rPr>
      <w:rFonts w:ascii="Times New Roman" w:eastAsia="Times New Roman" w:hAnsi="Times New Roman" w:cs="Times New Roman"/>
      <w:b/>
      <w:i/>
      <w:iCs/>
      <w:color w:val="000000" w:themeColor="text1"/>
      <w:szCs w:val="28"/>
    </w:rPr>
  </w:style>
  <w:style w:type="character" w:customStyle="1" w:styleId="A2Char0">
    <w:name w:val="A2 Char"/>
    <w:basedOn w:val="Heading3Char"/>
    <w:link w:val="A20"/>
    <w:rsid w:val="00820108"/>
    <w:rPr>
      <w:rFonts w:ascii="Times New Roman" w:eastAsia="Times New Roman" w:hAnsi="Times New Roman" w:cs="Times New Roman"/>
      <w:b w:val="0"/>
      <w:bCs/>
      <w:i w:val="0"/>
      <w:noProof/>
      <w:color w:val="000000" w:themeColor="text1"/>
      <w:spacing w:val="4"/>
      <w:lang w:val="en-GB"/>
    </w:rPr>
  </w:style>
  <w:style w:type="paragraph" w:customStyle="1" w:styleId="p">
    <w:name w:val="p"/>
    <w:basedOn w:val="Normal"/>
    <w:rsid w:val="00820108"/>
    <w:pPr>
      <w:spacing w:before="100" w:beforeAutospacing="1" w:after="100" w:afterAutospacing="1" w:line="240" w:lineRule="auto"/>
    </w:pPr>
    <w:rPr>
      <w:rFonts w:eastAsia="Times New Roman"/>
      <w:sz w:val="24"/>
      <w:szCs w:val="24"/>
      <w:lang w:val="en-GB" w:eastAsia="en-GB"/>
    </w:rPr>
  </w:style>
  <w:style w:type="paragraph" w:customStyle="1" w:styleId="A0">
    <w:name w:val="A"/>
    <w:basedOn w:val="Heading1"/>
    <w:link w:val="AChar0"/>
    <w:rsid w:val="00820108"/>
    <w:pPr>
      <w:tabs>
        <w:tab w:val="left" w:pos="9072"/>
        <w:tab w:val="left" w:pos="9356"/>
      </w:tabs>
    </w:pPr>
    <w:rPr>
      <w:rFonts w:cs="Arial"/>
      <w:bCs/>
      <w:iCs/>
      <w:color w:val="000000" w:themeColor="text1"/>
      <w:spacing w:val="-4"/>
      <w:position w:val="-4"/>
      <w:szCs w:val="28"/>
    </w:rPr>
  </w:style>
  <w:style w:type="character" w:customStyle="1" w:styleId="AChar0">
    <w:name w:val="A Char"/>
    <w:basedOn w:val="Heading1Char"/>
    <w:link w:val="A0"/>
    <w:rsid w:val="00820108"/>
    <w:rPr>
      <w:rFonts w:ascii="Times New Roman" w:eastAsia="Times New Roman" w:hAnsi="Times New Roman" w:cs="Arial"/>
      <w:b/>
      <w:bCs/>
      <w:iCs/>
      <w:noProof/>
      <w:color w:val="000000" w:themeColor="text1"/>
      <w:spacing w:val="-4"/>
      <w:position w:val="-4"/>
      <w:szCs w:val="28"/>
      <w:lang w:val="es-ES"/>
    </w:rPr>
  </w:style>
  <w:style w:type="paragraph" w:customStyle="1" w:styleId="1">
    <w:name w:val="1"/>
    <w:basedOn w:val="Normal"/>
    <w:rsid w:val="00270DC4"/>
    <w:pPr>
      <w:spacing w:before="120" w:after="120" w:line="408" w:lineRule="auto"/>
      <w:jc w:val="center"/>
    </w:pPr>
    <w:rPr>
      <w:rFonts w:eastAsia="Times New Roman"/>
      <w:b/>
      <w:sz w:val="28"/>
      <w:szCs w:val="28"/>
    </w:rPr>
  </w:style>
  <w:style w:type="character" w:customStyle="1" w:styleId="ListParagraphChar">
    <w:name w:val="List Paragraph Char"/>
    <w:link w:val="ListParagraph"/>
    <w:uiPriority w:val="34"/>
    <w:locked/>
    <w:rsid w:val="003D06BD"/>
  </w:style>
  <w:style w:type="paragraph" w:customStyle="1" w:styleId="Nguontrichdan">
    <w:name w:val="Nguon trich dan"/>
    <w:basedOn w:val="Normal"/>
    <w:qFormat/>
    <w:rsid w:val="00F01291"/>
    <w:pPr>
      <w:ind w:right="482"/>
      <w:jc w:val="center"/>
    </w:pPr>
    <w:rPr>
      <w:rFonts w:eastAsia="Times New Roman" w:cs="Arial"/>
      <w:i/>
      <w:iCs/>
      <w:lang w:val="da-DK"/>
    </w:rPr>
  </w:style>
  <w:style w:type="character" w:styleId="PageNumber">
    <w:name w:val="page number"/>
    <w:basedOn w:val="DefaultParagraphFont"/>
    <w:uiPriority w:val="99"/>
    <w:semiHidden/>
    <w:unhideWhenUsed/>
    <w:rsid w:val="00A33435"/>
  </w:style>
  <w:style w:type="table" w:customStyle="1" w:styleId="TableGrid3">
    <w:name w:val="Table Grid3"/>
    <w:basedOn w:val="TableNormal"/>
    <w:next w:val="TableGrid"/>
    <w:uiPriority w:val="39"/>
    <w:rsid w:val="00BB7B56"/>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hanxet-innghieng">
    <w:name w:val="nhan xet - in nghieng"/>
    <w:basedOn w:val="Normal"/>
    <w:autoRedefine/>
    <w:qFormat/>
    <w:rsid w:val="0057342E"/>
    <w:pPr>
      <w:spacing w:line="312" w:lineRule="auto"/>
      <w:ind w:firstLine="0"/>
    </w:pPr>
    <w:rPr>
      <w:rFonts w:eastAsia="Calibri"/>
      <w:b/>
      <w:i/>
      <w:iCs/>
      <w:sz w:val="28"/>
      <w:szCs w:val="28"/>
      <w:shd w:val="clear" w:color="auto" w:fill="auto"/>
    </w:rPr>
  </w:style>
  <w:style w:type="table" w:customStyle="1" w:styleId="TableGrid12">
    <w:name w:val="Table Grid12"/>
    <w:basedOn w:val="TableNormal"/>
    <w:next w:val="TableGrid"/>
    <w:rsid w:val="0057342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1">
    <w:name w:val="a2."/>
    <w:basedOn w:val="ListParagraph"/>
    <w:link w:val="a2Char1"/>
    <w:qFormat/>
    <w:rsid w:val="00471486"/>
    <w:pPr>
      <w:spacing w:line="360" w:lineRule="auto"/>
      <w:ind w:left="0" w:firstLine="0"/>
      <w:contextualSpacing w:val="0"/>
      <w:outlineLvl w:val="2"/>
    </w:pPr>
    <w:rPr>
      <w:b/>
      <w:bCs/>
      <w:i/>
      <w:color w:val="000000" w:themeColor="text1"/>
      <w:sz w:val="28"/>
      <w:szCs w:val="28"/>
    </w:rPr>
  </w:style>
  <w:style w:type="character" w:customStyle="1" w:styleId="a2Char1">
    <w:name w:val="a2. Char"/>
    <w:basedOn w:val="ListParagraphChar"/>
    <w:link w:val="a21"/>
    <w:rsid w:val="00471486"/>
    <w:rPr>
      <w:rFonts w:ascii="Times New Roman" w:hAnsi="Times New Roman" w:cs="Times New Roman"/>
      <w:b/>
      <w:bCs/>
      <w:i/>
      <w:color w:val="000000" w:themeColor="text1"/>
      <w:sz w:val="28"/>
      <w:szCs w:val="28"/>
    </w:rPr>
  </w:style>
  <w:style w:type="character" w:customStyle="1" w:styleId="DefaultChar">
    <w:name w:val="Default Char"/>
    <w:link w:val="Default"/>
    <w:locked/>
    <w:rsid w:val="0082249E"/>
    <w:rPr>
      <w:color w:val="000000"/>
      <w:sz w:val="24"/>
      <w:szCs w:val="24"/>
    </w:rPr>
  </w:style>
  <w:style w:type="paragraph" w:customStyle="1" w:styleId="Default">
    <w:name w:val="Default"/>
    <w:link w:val="DefaultChar"/>
    <w:rsid w:val="0082249E"/>
    <w:pPr>
      <w:autoSpaceDE w:val="0"/>
      <w:autoSpaceDN w:val="0"/>
      <w:adjustRightInd w:val="0"/>
      <w:spacing w:after="0" w:line="240" w:lineRule="auto"/>
    </w:pPr>
    <w:rPr>
      <w:color w:val="000000"/>
      <w:sz w:val="24"/>
      <w:szCs w:val="24"/>
    </w:rPr>
  </w:style>
  <w:style w:type="paragraph" w:customStyle="1" w:styleId="abieudo">
    <w:name w:val="abieudo"/>
    <w:basedOn w:val="Normal"/>
    <w:link w:val="abieudoChar"/>
    <w:qFormat/>
    <w:rsid w:val="00B359D3"/>
    <w:pPr>
      <w:autoSpaceDE w:val="0"/>
      <w:autoSpaceDN w:val="0"/>
      <w:adjustRightInd w:val="0"/>
      <w:spacing w:line="360" w:lineRule="auto"/>
      <w:ind w:firstLine="0"/>
      <w:jc w:val="center"/>
    </w:pPr>
    <w:rPr>
      <w:rFonts w:eastAsia="Calibri"/>
      <w:b/>
      <w:i/>
      <w:sz w:val="28"/>
      <w:szCs w:val="28"/>
      <w:shd w:val="clear" w:color="auto" w:fill="auto"/>
    </w:rPr>
  </w:style>
  <w:style w:type="character" w:customStyle="1" w:styleId="abieudoChar">
    <w:name w:val="abieudo Char"/>
    <w:link w:val="abieudo"/>
    <w:rsid w:val="00B359D3"/>
    <w:rPr>
      <w:rFonts w:ascii="Times New Roman" w:eastAsia="Calibri" w:hAnsi="Times New Roman" w:cs="Times New Roman"/>
      <w:b/>
      <w:i/>
      <w:sz w:val="28"/>
      <w:szCs w:val="28"/>
    </w:rPr>
  </w:style>
  <w:style w:type="table" w:customStyle="1" w:styleId="TableGrid2">
    <w:name w:val="Table Grid2"/>
    <w:basedOn w:val="TableNormal"/>
    <w:next w:val="TableGrid"/>
    <w:uiPriority w:val="39"/>
    <w:rsid w:val="000D612F"/>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556026"/>
    <w:pPr>
      <w:spacing w:after="0" w:line="240" w:lineRule="auto"/>
      <w:jc w:val="both"/>
    </w:pPr>
    <w:rP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DCE"/>
    <w:pPr>
      <w:spacing w:after="0" w:line="240" w:lineRule="auto"/>
    </w:pPr>
    <w:rPr>
      <w:rFonts w:ascii="Times New Roman" w:hAnsi="Times New Roman" w:cs="Times New Roman"/>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981844">
      <w:bodyDiv w:val="1"/>
      <w:marLeft w:val="0"/>
      <w:marRight w:val="0"/>
      <w:marTop w:val="0"/>
      <w:marBottom w:val="0"/>
      <w:divBdr>
        <w:top w:val="none" w:sz="0" w:space="0" w:color="auto"/>
        <w:left w:val="none" w:sz="0" w:space="0" w:color="auto"/>
        <w:bottom w:val="none" w:sz="0" w:space="0" w:color="auto"/>
        <w:right w:val="none" w:sz="0" w:space="0" w:color="auto"/>
      </w:divBdr>
      <w:divsChild>
        <w:div w:id="259218410">
          <w:marLeft w:val="547"/>
          <w:marRight w:val="0"/>
          <w:marTop w:val="115"/>
          <w:marBottom w:val="0"/>
          <w:divBdr>
            <w:top w:val="none" w:sz="0" w:space="0" w:color="auto"/>
            <w:left w:val="none" w:sz="0" w:space="0" w:color="auto"/>
            <w:bottom w:val="none" w:sz="0" w:space="0" w:color="auto"/>
            <w:right w:val="none" w:sz="0" w:space="0" w:color="auto"/>
          </w:divBdr>
        </w:div>
        <w:div w:id="436296700">
          <w:marLeft w:val="547"/>
          <w:marRight w:val="0"/>
          <w:marTop w:val="115"/>
          <w:marBottom w:val="0"/>
          <w:divBdr>
            <w:top w:val="none" w:sz="0" w:space="0" w:color="auto"/>
            <w:left w:val="none" w:sz="0" w:space="0" w:color="auto"/>
            <w:bottom w:val="none" w:sz="0" w:space="0" w:color="auto"/>
            <w:right w:val="none" w:sz="0" w:space="0" w:color="auto"/>
          </w:divBdr>
        </w:div>
        <w:div w:id="1391270716">
          <w:marLeft w:val="547"/>
          <w:marRight w:val="0"/>
          <w:marTop w:val="115"/>
          <w:marBottom w:val="0"/>
          <w:divBdr>
            <w:top w:val="none" w:sz="0" w:space="0" w:color="auto"/>
            <w:left w:val="none" w:sz="0" w:space="0" w:color="auto"/>
            <w:bottom w:val="none" w:sz="0" w:space="0" w:color="auto"/>
            <w:right w:val="none" w:sz="0" w:space="0" w:color="auto"/>
          </w:divBdr>
        </w:div>
        <w:div w:id="1599407972">
          <w:marLeft w:val="547"/>
          <w:marRight w:val="0"/>
          <w:marTop w:val="115"/>
          <w:marBottom w:val="0"/>
          <w:divBdr>
            <w:top w:val="none" w:sz="0" w:space="0" w:color="auto"/>
            <w:left w:val="none" w:sz="0" w:space="0" w:color="auto"/>
            <w:bottom w:val="none" w:sz="0" w:space="0" w:color="auto"/>
            <w:right w:val="none" w:sz="0" w:space="0" w:color="auto"/>
          </w:divBdr>
        </w:div>
        <w:div w:id="2006398033">
          <w:marLeft w:val="547"/>
          <w:marRight w:val="0"/>
          <w:marTop w:val="115"/>
          <w:marBottom w:val="0"/>
          <w:divBdr>
            <w:top w:val="none" w:sz="0" w:space="0" w:color="auto"/>
            <w:left w:val="none" w:sz="0" w:space="0" w:color="auto"/>
            <w:bottom w:val="none" w:sz="0" w:space="0" w:color="auto"/>
            <w:right w:val="none" w:sz="0" w:space="0" w:color="auto"/>
          </w:divBdr>
        </w:div>
      </w:divsChild>
    </w:div>
    <w:div w:id="157156138">
      <w:bodyDiv w:val="1"/>
      <w:marLeft w:val="0"/>
      <w:marRight w:val="0"/>
      <w:marTop w:val="0"/>
      <w:marBottom w:val="0"/>
      <w:divBdr>
        <w:top w:val="none" w:sz="0" w:space="0" w:color="auto"/>
        <w:left w:val="none" w:sz="0" w:space="0" w:color="auto"/>
        <w:bottom w:val="none" w:sz="0" w:space="0" w:color="auto"/>
        <w:right w:val="none" w:sz="0" w:space="0" w:color="auto"/>
      </w:divBdr>
    </w:div>
    <w:div w:id="268777353">
      <w:bodyDiv w:val="1"/>
      <w:marLeft w:val="0"/>
      <w:marRight w:val="0"/>
      <w:marTop w:val="0"/>
      <w:marBottom w:val="0"/>
      <w:divBdr>
        <w:top w:val="none" w:sz="0" w:space="0" w:color="auto"/>
        <w:left w:val="none" w:sz="0" w:space="0" w:color="auto"/>
        <w:bottom w:val="none" w:sz="0" w:space="0" w:color="auto"/>
        <w:right w:val="none" w:sz="0" w:space="0" w:color="auto"/>
      </w:divBdr>
    </w:div>
    <w:div w:id="280764792">
      <w:bodyDiv w:val="1"/>
      <w:marLeft w:val="0"/>
      <w:marRight w:val="0"/>
      <w:marTop w:val="0"/>
      <w:marBottom w:val="0"/>
      <w:divBdr>
        <w:top w:val="none" w:sz="0" w:space="0" w:color="auto"/>
        <w:left w:val="none" w:sz="0" w:space="0" w:color="auto"/>
        <w:bottom w:val="none" w:sz="0" w:space="0" w:color="auto"/>
        <w:right w:val="none" w:sz="0" w:space="0" w:color="auto"/>
      </w:divBdr>
    </w:div>
    <w:div w:id="338193408">
      <w:bodyDiv w:val="1"/>
      <w:marLeft w:val="0"/>
      <w:marRight w:val="0"/>
      <w:marTop w:val="0"/>
      <w:marBottom w:val="0"/>
      <w:divBdr>
        <w:top w:val="none" w:sz="0" w:space="0" w:color="auto"/>
        <w:left w:val="none" w:sz="0" w:space="0" w:color="auto"/>
        <w:bottom w:val="none" w:sz="0" w:space="0" w:color="auto"/>
        <w:right w:val="none" w:sz="0" w:space="0" w:color="auto"/>
      </w:divBdr>
    </w:div>
    <w:div w:id="365108603">
      <w:bodyDiv w:val="1"/>
      <w:marLeft w:val="0"/>
      <w:marRight w:val="0"/>
      <w:marTop w:val="0"/>
      <w:marBottom w:val="0"/>
      <w:divBdr>
        <w:top w:val="none" w:sz="0" w:space="0" w:color="auto"/>
        <w:left w:val="none" w:sz="0" w:space="0" w:color="auto"/>
        <w:bottom w:val="none" w:sz="0" w:space="0" w:color="auto"/>
        <w:right w:val="none" w:sz="0" w:space="0" w:color="auto"/>
      </w:divBdr>
      <w:divsChild>
        <w:div w:id="416053113">
          <w:marLeft w:val="547"/>
          <w:marRight w:val="0"/>
          <w:marTop w:val="115"/>
          <w:marBottom w:val="0"/>
          <w:divBdr>
            <w:top w:val="none" w:sz="0" w:space="0" w:color="auto"/>
            <w:left w:val="none" w:sz="0" w:space="0" w:color="auto"/>
            <w:bottom w:val="none" w:sz="0" w:space="0" w:color="auto"/>
            <w:right w:val="none" w:sz="0" w:space="0" w:color="auto"/>
          </w:divBdr>
        </w:div>
        <w:div w:id="557739163">
          <w:marLeft w:val="547"/>
          <w:marRight w:val="0"/>
          <w:marTop w:val="115"/>
          <w:marBottom w:val="0"/>
          <w:divBdr>
            <w:top w:val="none" w:sz="0" w:space="0" w:color="auto"/>
            <w:left w:val="none" w:sz="0" w:space="0" w:color="auto"/>
            <w:bottom w:val="none" w:sz="0" w:space="0" w:color="auto"/>
            <w:right w:val="none" w:sz="0" w:space="0" w:color="auto"/>
          </w:divBdr>
        </w:div>
        <w:div w:id="663052262">
          <w:marLeft w:val="547"/>
          <w:marRight w:val="0"/>
          <w:marTop w:val="115"/>
          <w:marBottom w:val="0"/>
          <w:divBdr>
            <w:top w:val="none" w:sz="0" w:space="0" w:color="auto"/>
            <w:left w:val="none" w:sz="0" w:space="0" w:color="auto"/>
            <w:bottom w:val="none" w:sz="0" w:space="0" w:color="auto"/>
            <w:right w:val="none" w:sz="0" w:space="0" w:color="auto"/>
          </w:divBdr>
        </w:div>
        <w:div w:id="893930005">
          <w:marLeft w:val="547"/>
          <w:marRight w:val="0"/>
          <w:marTop w:val="115"/>
          <w:marBottom w:val="0"/>
          <w:divBdr>
            <w:top w:val="none" w:sz="0" w:space="0" w:color="auto"/>
            <w:left w:val="none" w:sz="0" w:space="0" w:color="auto"/>
            <w:bottom w:val="none" w:sz="0" w:space="0" w:color="auto"/>
            <w:right w:val="none" w:sz="0" w:space="0" w:color="auto"/>
          </w:divBdr>
        </w:div>
        <w:div w:id="1478768845">
          <w:marLeft w:val="547"/>
          <w:marRight w:val="0"/>
          <w:marTop w:val="115"/>
          <w:marBottom w:val="0"/>
          <w:divBdr>
            <w:top w:val="none" w:sz="0" w:space="0" w:color="auto"/>
            <w:left w:val="none" w:sz="0" w:space="0" w:color="auto"/>
            <w:bottom w:val="none" w:sz="0" w:space="0" w:color="auto"/>
            <w:right w:val="none" w:sz="0" w:space="0" w:color="auto"/>
          </w:divBdr>
        </w:div>
      </w:divsChild>
    </w:div>
    <w:div w:id="450054425">
      <w:bodyDiv w:val="1"/>
      <w:marLeft w:val="0"/>
      <w:marRight w:val="0"/>
      <w:marTop w:val="0"/>
      <w:marBottom w:val="0"/>
      <w:divBdr>
        <w:top w:val="none" w:sz="0" w:space="0" w:color="auto"/>
        <w:left w:val="none" w:sz="0" w:space="0" w:color="auto"/>
        <w:bottom w:val="none" w:sz="0" w:space="0" w:color="auto"/>
        <w:right w:val="none" w:sz="0" w:space="0" w:color="auto"/>
      </w:divBdr>
    </w:div>
    <w:div w:id="492992932">
      <w:bodyDiv w:val="1"/>
      <w:marLeft w:val="0"/>
      <w:marRight w:val="0"/>
      <w:marTop w:val="0"/>
      <w:marBottom w:val="0"/>
      <w:divBdr>
        <w:top w:val="none" w:sz="0" w:space="0" w:color="auto"/>
        <w:left w:val="none" w:sz="0" w:space="0" w:color="auto"/>
        <w:bottom w:val="none" w:sz="0" w:space="0" w:color="auto"/>
        <w:right w:val="none" w:sz="0" w:space="0" w:color="auto"/>
      </w:divBdr>
      <w:divsChild>
        <w:div w:id="769130948">
          <w:marLeft w:val="547"/>
          <w:marRight w:val="0"/>
          <w:marTop w:val="0"/>
          <w:marBottom w:val="0"/>
          <w:divBdr>
            <w:top w:val="none" w:sz="0" w:space="0" w:color="auto"/>
            <w:left w:val="none" w:sz="0" w:space="0" w:color="auto"/>
            <w:bottom w:val="none" w:sz="0" w:space="0" w:color="auto"/>
            <w:right w:val="none" w:sz="0" w:space="0" w:color="auto"/>
          </w:divBdr>
        </w:div>
        <w:div w:id="1247617717">
          <w:marLeft w:val="547"/>
          <w:marRight w:val="0"/>
          <w:marTop w:val="0"/>
          <w:marBottom w:val="0"/>
          <w:divBdr>
            <w:top w:val="none" w:sz="0" w:space="0" w:color="auto"/>
            <w:left w:val="none" w:sz="0" w:space="0" w:color="auto"/>
            <w:bottom w:val="none" w:sz="0" w:space="0" w:color="auto"/>
            <w:right w:val="none" w:sz="0" w:space="0" w:color="auto"/>
          </w:divBdr>
        </w:div>
      </w:divsChild>
    </w:div>
    <w:div w:id="554124779">
      <w:bodyDiv w:val="1"/>
      <w:marLeft w:val="0"/>
      <w:marRight w:val="0"/>
      <w:marTop w:val="0"/>
      <w:marBottom w:val="0"/>
      <w:divBdr>
        <w:top w:val="none" w:sz="0" w:space="0" w:color="auto"/>
        <w:left w:val="none" w:sz="0" w:space="0" w:color="auto"/>
        <w:bottom w:val="none" w:sz="0" w:space="0" w:color="auto"/>
        <w:right w:val="none" w:sz="0" w:space="0" w:color="auto"/>
      </w:divBdr>
      <w:divsChild>
        <w:div w:id="726533192">
          <w:marLeft w:val="547"/>
          <w:marRight w:val="0"/>
          <w:marTop w:val="0"/>
          <w:marBottom w:val="0"/>
          <w:divBdr>
            <w:top w:val="none" w:sz="0" w:space="0" w:color="auto"/>
            <w:left w:val="none" w:sz="0" w:space="0" w:color="auto"/>
            <w:bottom w:val="none" w:sz="0" w:space="0" w:color="auto"/>
            <w:right w:val="none" w:sz="0" w:space="0" w:color="auto"/>
          </w:divBdr>
        </w:div>
        <w:div w:id="1279532868">
          <w:marLeft w:val="547"/>
          <w:marRight w:val="0"/>
          <w:marTop w:val="0"/>
          <w:marBottom w:val="0"/>
          <w:divBdr>
            <w:top w:val="none" w:sz="0" w:space="0" w:color="auto"/>
            <w:left w:val="none" w:sz="0" w:space="0" w:color="auto"/>
            <w:bottom w:val="none" w:sz="0" w:space="0" w:color="auto"/>
            <w:right w:val="none" w:sz="0" w:space="0" w:color="auto"/>
          </w:divBdr>
        </w:div>
        <w:div w:id="1968851232">
          <w:marLeft w:val="547"/>
          <w:marRight w:val="0"/>
          <w:marTop w:val="0"/>
          <w:marBottom w:val="0"/>
          <w:divBdr>
            <w:top w:val="none" w:sz="0" w:space="0" w:color="auto"/>
            <w:left w:val="none" w:sz="0" w:space="0" w:color="auto"/>
            <w:bottom w:val="none" w:sz="0" w:space="0" w:color="auto"/>
            <w:right w:val="none" w:sz="0" w:space="0" w:color="auto"/>
          </w:divBdr>
        </w:div>
        <w:div w:id="2021269554">
          <w:marLeft w:val="547"/>
          <w:marRight w:val="0"/>
          <w:marTop w:val="0"/>
          <w:marBottom w:val="0"/>
          <w:divBdr>
            <w:top w:val="none" w:sz="0" w:space="0" w:color="auto"/>
            <w:left w:val="none" w:sz="0" w:space="0" w:color="auto"/>
            <w:bottom w:val="none" w:sz="0" w:space="0" w:color="auto"/>
            <w:right w:val="none" w:sz="0" w:space="0" w:color="auto"/>
          </w:divBdr>
        </w:div>
      </w:divsChild>
    </w:div>
    <w:div w:id="693649481">
      <w:bodyDiv w:val="1"/>
      <w:marLeft w:val="0"/>
      <w:marRight w:val="0"/>
      <w:marTop w:val="0"/>
      <w:marBottom w:val="0"/>
      <w:divBdr>
        <w:top w:val="none" w:sz="0" w:space="0" w:color="auto"/>
        <w:left w:val="none" w:sz="0" w:space="0" w:color="auto"/>
        <w:bottom w:val="none" w:sz="0" w:space="0" w:color="auto"/>
        <w:right w:val="none" w:sz="0" w:space="0" w:color="auto"/>
      </w:divBdr>
    </w:div>
    <w:div w:id="702095494">
      <w:bodyDiv w:val="1"/>
      <w:marLeft w:val="0"/>
      <w:marRight w:val="0"/>
      <w:marTop w:val="0"/>
      <w:marBottom w:val="0"/>
      <w:divBdr>
        <w:top w:val="none" w:sz="0" w:space="0" w:color="auto"/>
        <w:left w:val="none" w:sz="0" w:space="0" w:color="auto"/>
        <w:bottom w:val="none" w:sz="0" w:space="0" w:color="auto"/>
        <w:right w:val="none" w:sz="0" w:space="0" w:color="auto"/>
      </w:divBdr>
    </w:div>
    <w:div w:id="705373142">
      <w:bodyDiv w:val="1"/>
      <w:marLeft w:val="0"/>
      <w:marRight w:val="0"/>
      <w:marTop w:val="0"/>
      <w:marBottom w:val="0"/>
      <w:divBdr>
        <w:top w:val="none" w:sz="0" w:space="0" w:color="auto"/>
        <w:left w:val="none" w:sz="0" w:space="0" w:color="auto"/>
        <w:bottom w:val="none" w:sz="0" w:space="0" w:color="auto"/>
        <w:right w:val="none" w:sz="0" w:space="0" w:color="auto"/>
      </w:divBdr>
    </w:div>
    <w:div w:id="708458407">
      <w:bodyDiv w:val="1"/>
      <w:marLeft w:val="0"/>
      <w:marRight w:val="0"/>
      <w:marTop w:val="0"/>
      <w:marBottom w:val="0"/>
      <w:divBdr>
        <w:top w:val="none" w:sz="0" w:space="0" w:color="auto"/>
        <w:left w:val="none" w:sz="0" w:space="0" w:color="auto"/>
        <w:bottom w:val="none" w:sz="0" w:space="0" w:color="auto"/>
        <w:right w:val="none" w:sz="0" w:space="0" w:color="auto"/>
      </w:divBdr>
      <w:divsChild>
        <w:div w:id="1221550972">
          <w:marLeft w:val="547"/>
          <w:marRight w:val="0"/>
          <w:marTop w:val="115"/>
          <w:marBottom w:val="0"/>
          <w:divBdr>
            <w:top w:val="none" w:sz="0" w:space="0" w:color="auto"/>
            <w:left w:val="none" w:sz="0" w:space="0" w:color="auto"/>
            <w:bottom w:val="none" w:sz="0" w:space="0" w:color="auto"/>
            <w:right w:val="none" w:sz="0" w:space="0" w:color="auto"/>
          </w:divBdr>
        </w:div>
      </w:divsChild>
    </w:div>
    <w:div w:id="769737875">
      <w:bodyDiv w:val="1"/>
      <w:marLeft w:val="0"/>
      <w:marRight w:val="0"/>
      <w:marTop w:val="0"/>
      <w:marBottom w:val="0"/>
      <w:divBdr>
        <w:top w:val="none" w:sz="0" w:space="0" w:color="auto"/>
        <w:left w:val="none" w:sz="0" w:space="0" w:color="auto"/>
        <w:bottom w:val="none" w:sz="0" w:space="0" w:color="auto"/>
        <w:right w:val="none" w:sz="0" w:space="0" w:color="auto"/>
      </w:divBdr>
    </w:div>
    <w:div w:id="775903964">
      <w:bodyDiv w:val="1"/>
      <w:marLeft w:val="0"/>
      <w:marRight w:val="0"/>
      <w:marTop w:val="0"/>
      <w:marBottom w:val="0"/>
      <w:divBdr>
        <w:top w:val="none" w:sz="0" w:space="0" w:color="auto"/>
        <w:left w:val="none" w:sz="0" w:space="0" w:color="auto"/>
        <w:bottom w:val="none" w:sz="0" w:space="0" w:color="auto"/>
        <w:right w:val="none" w:sz="0" w:space="0" w:color="auto"/>
      </w:divBdr>
    </w:div>
    <w:div w:id="817461049">
      <w:bodyDiv w:val="1"/>
      <w:marLeft w:val="0"/>
      <w:marRight w:val="0"/>
      <w:marTop w:val="0"/>
      <w:marBottom w:val="0"/>
      <w:divBdr>
        <w:top w:val="none" w:sz="0" w:space="0" w:color="auto"/>
        <w:left w:val="none" w:sz="0" w:space="0" w:color="auto"/>
        <w:bottom w:val="none" w:sz="0" w:space="0" w:color="auto"/>
        <w:right w:val="none" w:sz="0" w:space="0" w:color="auto"/>
      </w:divBdr>
    </w:div>
    <w:div w:id="827982148">
      <w:bodyDiv w:val="1"/>
      <w:marLeft w:val="0"/>
      <w:marRight w:val="0"/>
      <w:marTop w:val="0"/>
      <w:marBottom w:val="0"/>
      <w:divBdr>
        <w:top w:val="none" w:sz="0" w:space="0" w:color="auto"/>
        <w:left w:val="none" w:sz="0" w:space="0" w:color="auto"/>
        <w:bottom w:val="none" w:sz="0" w:space="0" w:color="auto"/>
        <w:right w:val="none" w:sz="0" w:space="0" w:color="auto"/>
      </w:divBdr>
    </w:div>
    <w:div w:id="843514813">
      <w:bodyDiv w:val="1"/>
      <w:marLeft w:val="0"/>
      <w:marRight w:val="0"/>
      <w:marTop w:val="0"/>
      <w:marBottom w:val="0"/>
      <w:divBdr>
        <w:top w:val="none" w:sz="0" w:space="0" w:color="auto"/>
        <w:left w:val="none" w:sz="0" w:space="0" w:color="auto"/>
        <w:bottom w:val="none" w:sz="0" w:space="0" w:color="auto"/>
        <w:right w:val="none" w:sz="0" w:space="0" w:color="auto"/>
      </w:divBdr>
    </w:div>
    <w:div w:id="850606930">
      <w:bodyDiv w:val="1"/>
      <w:marLeft w:val="0"/>
      <w:marRight w:val="0"/>
      <w:marTop w:val="0"/>
      <w:marBottom w:val="0"/>
      <w:divBdr>
        <w:top w:val="none" w:sz="0" w:space="0" w:color="auto"/>
        <w:left w:val="none" w:sz="0" w:space="0" w:color="auto"/>
        <w:bottom w:val="none" w:sz="0" w:space="0" w:color="auto"/>
        <w:right w:val="none" w:sz="0" w:space="0" w:color="auto"/>
      </w:divBdr>
    </w:div>
    <w:div w:id="859659756">
      <w:bodyDiv w:val="1"/>
      <w:marLeft w:val="0"/>
      <w:marRight w:val="0"/>
      <w:marTop w:val="0"/>
      <w:marBottom w:val="0"/>
      <w:divBdr>
        <w:top w:val="none" w:sz="0" w:space="0" w:color="auto"/>
        <w:left w:val="none" w:sz="0" w:space="0" w:color="auto"/>
        <w:bottom w:val="none" w:sz="0" w:space="0" w:color="auto"/>
        <w:right w:val="none" w:sz="0" w:space="0" w:color="auto"/>
      </w:divBdr>
      <w:divsChild>
        <w:div w:id="1571423275">
          <w:marLeft w:val="547"/>
          <w:marRight w:val="0"/>
          <w:marTop w:val="115"/>
          <w:marBottom w:val="0"/>
          <w:divBdr>
            <w:top w:val="none" w:sz="0" w:space="0" w:color="auto"/>
            <w:left w:val="none" w:sz="0" w:space="0" w:color="auto"/>
            <w:bottom w:val="none" w:sz="0" w:space="0" w:color="auto"/>
            <w:right w:val="none" w:sz="0" w:space="0" w:color="auto"/>
          </w:divBdr>
        </w:div>
        <w:div w:id="2090761119">
          <w:marLeft w:val="547"/>
          <w:marRight w:val="0"/>
          <w:marTop w:val="115"/>
          <w:marBottom w:val="0"/>
          <w:divBdr>
            <w:top w:val="none" w:sz="0" w:space="0" w:color="auto"/>
            <w:left w:val="none" w:sz="0" w:space="0" w:color="auto"/>
            <w:bottom w:val="none" w:sz="0" w:space="0" w:color="auto"/>
            <w:right w:val="none" w:sz="0" w:space="0" w:color="auto"/>
          </w:divBdr>
        </w:div>
      </w:divsChild>
    </w:div>
    <w:div w:id="890189463">
      <w:bodyDiv w:val="1"/>
      <w:marLeft w:val="0"/>
      <w:marRight w:val="0"/>
      <w:marTop w:val="0"/>
      <w:marBottom w:val="0"/>
      <w:divBdr>
        <w:top w:val="none" w:sz="0" w:space="0" w:color="auto"/>
        <w:left w:val="none" w:sz="0" w:space="0" w:color="auto"/>
        <w:bottom w:val="none" w:sz="0" w:space="0" w:color="auto"/>
        <w:right w:val="none" w:sz="0" w:space="0" w:color="auto"/>
      </w:divBdr>
    </w:div>
    <w:div w:id="900605272">
      <w:bodyDiv w:val="1"/>
      <w:marLeft w:val="0"/>
      <w:marRight w:val="0"/>
      <w:marTop w:val="0"/>
      <w:marBottom w:val="0"/>
      <w:divBdr>
        <w:top w:val="none" w:sz="0" w:space="0" w:color="auto"/>
        <w:left w:val="none" w:sz="0" w:space="0" w:color="auto"/>
        <w:bottom w:val="none" w:sz="0" w:space="0" w:color="auto"/>
        <w:right w:val="none" w:sz="0" w:space="0" w:color="auto"/>
      </w:divBdr>
    </w:div>
    <w:div w:id="977995770">
      <w:bodyDiv w:val="1"/>
      <w:marLeft w:val="0"/>
      <w:marRight w:val="0"/>
      <w:marTop w:val="0"/>
      <w:marBottom w:val="0"/>
      <w:divBdr>
        <w:top w:val="none" w:sz="0" w:space="0" w:color="auto"/>
        <w:left w:val="none" w:sz="0" w:space="0" w:color="auto"/>
        <w:bottom w:val="none" w:sz="0" w:space="0" w:color="auto"/>
        <w:right w:val="none" w:sz="0" w:space="0" w:color="auto"/>
      </w:divBdr>
    </w:div>
    <w:div w:id="984972988">
      <w:bodyDiv w:val="1"/>
      <w:marLeft w:val="0"/>
      <w:marRight w:val="0"/>
      <w:marTop w:val="0"/>
      <w:marBottom w:val="0"/>
      <w:divBdr>
        <w:top w:val="none" w:sz="0" w:space="0" w:color="auto"/>
        <w:left w:val="none" w:sz="0" w:space="0" w:color="auto"/>
        <w:bottom w:val="none" w:sz="0" w:space="0" w:color="auto"/>
        <w:right w:val="none" w:sz="0" w:space="0" w:color="auto"/>
      </w:divBdr>
    </w:div>
    <w:div w:id="1015766756">
      <w:bodyDiv w:val="1"/>
      <w:marLeft w:val="0"/>
      <w:marRight w:val="0"/>
      <w:marTop w:val="0"/>
      <w:marBottom w:val="0"/>
      <w:divBdr>
        <w:top w:val="none" w:sz="0" w:space="0" w:color="auto"/>
        <w:left w:val="none" w:sz="0" w:space="0" w:color="auto"/>
        <w:bottom w:val="none" w:sz="0" w:space="0" w:color="auto"/>
        <w:right w:val="none" w:sz="0" w:space="0" w:color="auto"/>
      </w:divBdr>
    </w:div>
    <w:div w:id="1089933513">
      <w:bodyDiv w:val="1"/>
      <w:marLeft w:val="0"/>
      <w:marRight w:val="0"/>
      <w:marTop w:val="0"/>
      <w:marBottom w:val="0"/>
      <w:divBdr>
        <w:top w:val="none" w:sz="0" w:space="0" w:color="auto"/>
        <w:left w:val="none" w:sz="0" w:space="0" w:color="auto"/>
        <w:bottom w:val="none" w:sz="0" w:space="0" w:color="auto"/>
        <w:right w:val="none" w:sz="0" w:space="0" w:color="auto"/>
      </w:divBdr>
    </w:div>
    <w:div w:id="1100415779">
      <w:bodyDiv w:val="1"/>
      <w:marLeft w:val="0"/>
      <w:marRight w:val="0"/>
      <w:marTop w:val="0"/>
      <w:marBottom w:val="0"/>
      <w:divBdr>
        <w:top w:val="none" w:sz="0" w:space="0" w:color="auto"/>
        <w:left w:val="none" w:sz="0" w:space="0" w:color="auto"/>
        <w:bottom w:val="none" w:sz="0" w:space="0" w:color="auto"/>
        <w:right w:val="none" w:sz="0" w:space="0" w:color="auto"/>
      </w:divBdr>
    </w:div>
    <w:div w:id="1131825062">
      <w:bodyDiv w:val="1"/>
      <w:marLeft w:val="0"/>
      <w:marRight w:val="0"/>
      <w:marTop w:val="0"/>
      <w:marBottom w:val="0"/>
      <w:divBdr>
        <w:top w:val="none" w:sz="0" w:space="0" w:color="auto"/>
        <w:left w:val="none" w:sz="0" w:space="0" w:color="auto"/>
        <w:bottom w:val="none" w:sz="0" w:space="0" w:color="auto"/>
        <w:right w:val="none" w:sz="0" w:space="0" w:color="auto"/>
      </w:divBdr>
    </w:div>
    <w:div w:id="1143502306">
      <w:bodyDiv w:val="1"/>
      <w:marLeft w:val="0"/>
      <w:marRight w:val="0"/>
      <w:marTop w:val="0"/>
      <w:marBottom w:val="0"/>
      <w:divBdr>
        <w:top w:val="none" w:sz="0" w:space="0" w:color="auto"/>
        <w:left w:val="none" w:sz="0" w:space="0" w:color="auto"/>
        <w:bottom w:val="none" w:sz="0" w:space="0" w:color="auto"/>
        <w:right w:val="none" w:sz="0" w:space="0" w:color="auto"/>
      </w:divBdr>
      <w:divsChild>
        <w:div w:id="19359636">
          <w:marLeft w:val="547"/>
          <w:marRight w:val="0"/>
          <w:marTop w:val="115"/>
          <w:marBottom w:val="0"/>
          <w:divBdr>
            <w:top w:val="none" w:sz="0" w:space="0" w:color="auto"/>
            <w:left w:val="none" w:sz="0" w:space="0" w:color="auto"/>
            <w:bottom w:val="none" w:sz="0" w:space="0" w:color="auto"/>
            <w:right w:val="none" w:sz="0" w:space="0" w:color="auto"/>
          </w:divBdr>
        </w:div>
        <w:div w:id="2017926900">
          <w:marLeft w:val="547"/>
          <w:marRight w:val="0"/>
          <w:marTop w:val="115"/>
          <w:marBottom w:val="0"/>
          <w:divBdr>
            <w:top w:val="none" w:sz="0" w:space="0" w:color="auto"/>
            <w:left w:val="none" w:sz="0" w:space="0" w:color="auto"/>
            <w:bottom w:val="none" w:sz="0" w:space="0" w:color="auto"/>
            <w:right w:val="none" w:sz="0" w:space="0" w:color="auto"/>
          </w:divBdr>
        </w:div>
      </w:divsChild>
    </w:div>
    <w:div w:id="1189565230">
      <w:bodyDiv w:val="1"/>
      <w:marLeft w:val="0"/>
      <w:marRight w:val="0"/>
      <w:marTop w:val="0"/>
      <w:marBottom w:val="0"/>
      <w:divBdr>
        <w:top w:val="none" w:sz="0" w:space="0" w:color="auto"/>
        <w:left w:val="none" w:sz="0" w:space="0" w:color="auto"/>
        <w:bottom w:val="none" w:sz="0" w:space="0" w:color="auto"/>
        <w:right w:val="none" w:sz="0" w:space="0" w:color="auto"/>
      </w:divBdr>
      <w:divsChild>
        <w:div w:id="1016931113">
          <w:marLeft w:val="547"/>
          <w:marRight w:val="0"/>
          <w:marTop w:val="115"/>
          <w:marBottom w:val="0"/>
          <w:divBdr>
            <w:top w:val="none" w:sz="0" w:space="0" w:color="auto"/>
            <w:left w:val="none" w:sz="0" w:space="0" w:color="auto"/>
            <w:bottom w:val="none" w:sz="0" w:space="0" w:color="auto"/>
            <w:right w:val="none" w:sz="0" w:space="0" w:color="auto"/>
          </w:divBdr>
        </w:div>
        <w:div w:id="1111818772">
          <w:marLeft w:val="547"/>
          <w:marRight w:val="0"/>
          <w:marTop w:val="115"/>
          <w:marBottom w:val="0"/>
          <w:divBdr>
            <w:top w:val="none" w:sz="0" w:space="0" w:color="auto"/>
            <w:left w:val="none" w:sz="0" w:space="0" w:color="auto"/>
            <w:bottom w:val="none" w:sz="0" w:space="0" w:color="auto"/>
            <w:right w:val="none" w:sz="0" w:space="0" w:color="auto"/>
          </w:divBdr>
        </w:div>
        <w:div w:id="1634871744">
          <w:marLeft w:val="547"/>
          <w:marRight w:val="0"/>
          <w:marTop w:val="115"/>
          <w:marBottom w:val="0"/>
          <w:divBdr>
            <w:top w:val="none" w:sz="0" w:space="0" w:color="auto"/>
            <w:left w:val="none" w:sz="0" w:space="0" w:color="auto"/>
            <w:bottom w:val="none" w:sz="0" w:space="0" w:color="auto"/>
            <w:right w:val="none" w:sz="0" w:space="0" w:color="auto"/>
          </w:divBdr>
        </w:div>
      </w:divsChild>
    </w:div>
    <w:div w:id="1192720063">
      <w:bodyDiv w:val="1"/>
      <w:marLeft w:val="0"/>
      <w:marRight w:val="0"/>
      <w:marTop w:val="0"/>
      <w:marBottom w:val="0"/>
      <w:divBdr>
        <w:top w:val="none" w:sz="0" w:space="0" w:color="auto"/>
        <w:left w:val="none" w:sz="0" w:space="0" w:color="auto"/>
        <w:bottom w:val="none" w:sz="0" w:space="0" w:color="auto"/>
        <w:right w:val="none" w:sz="0" w:space="0" w:color="auto"/>
      </w:divBdr>
    </w:div>
    <w:div w:id="1397894415">
      <w:bodyDiv w:val="1"/>
      <w:marLeft w:val="0"/>
      <w:marRight w:val="0"/>
      <w:marTop w:val="0"/>
      <w:marBottom w:val="0"/>
      <w:divBdr>
        <w:top w:val="none" w:sz="0" w:space="0" w:color="auto"/>
        <w:left w:val="none" w:sz="0" w:space="0" w:color="auto"/>
        <w:bottom w:val="none" w:sz="0" w:space="0" w:color="auto"/>
        <w:right w:val="none" w:sz="0" w:space="0" w:color="auto"/>
      </w:divBdr>
    </w:div>
    <w:div w:id="1509099405">
      <w:bodyDiv w:val="1"/>
      <w:marLeft w:val="0"/>
      <w:marRight w:val="0"/>
      <w:marTop w:val="0"/>
      <w:marBottom w:val="0"/>
      <w:divBdr>
        <w:top w:val="none" w:sz="0" w:space="0" w:color="auto"/>
        <w:left w:val="none" w:sz="0" w:space="0" w:color="auto"/>
        <w:bottom w:val="none" w:sz="0" w:space="0" w:color="auto"/>
        <w:right w:val="none" w:sz="0" w:space="0" w:color="auto"/>
      </w:divBdr>
    </w:div>
    <w:div w:id="1532189141">
      <w:bodyDiv w:val="1"/>
      <w:marLeft w:val="0"/>
      <w:marRight w:val="0"/>
      <w:marTop w:val="0"/>
      <w:marBottom w:val="0"/>
      <w:divBdr>
        <w:top w:val="none" w:sz="0" w:space="0" w:color="auto"/>
        <w:left w:val="none" w:sz="0" w:space="0" w:color="auto"/>
        <w:bottom w:val="none" w:sz="0" w:space="0" w:color="auto"/>
        <w:right w:val="none" w:sz="0" w:space="0" w:color="auto"/>
      </w:divBdr>
    </w:div>
    <w:div w:id="1594818606">
      <w:bodyDiv w:val="1"/>
      <w:marLeft w:val="0"/>
      <w:marRight w:val="0"/>
      <w:marTop w:val="0"/>
      <w:marBottom w:val="0"/>
      <w:divBdr>
        <w:top w:val="none" w:sz="0" w:space="0" w:color="auto"/>
        <w:left w:val="none" w:sz="0" w:space="0" w:color="auto"/>
        <w:bottom w:val="none" w:sz="0" w:space="0" w:color="auto"/>
        <w:right w:val="none" w:sz="0" w:space="0" w:color="auto"/>
      </w:divBdr>
    </w:div>
    <w:div w:id="1761873377">
      <w:bodyDiv w:val="1"/>
      <w:marLeft w:val="0"/>
      <w:marRight w:val="0"/>
      <w:marTop w:val="0"/>
      <w:marBottom w:val="0"/>
      <w:divBdr>
        <w:top w:val="none" w:sz="0" w:space="0" w:color="auto"/>
        <w:left w:val="none" w:sz="0" w:space="0" w:color="auto"/>
        <w:bottom w:val="none" w:sz="0" w:space="0" w:color="auto"/>
        <w:right w:val="none" w:sz="0" w:space="0" w:color="auto"/>
      </w:divBdr>
    </w:div>
    <w:div w:id="1792358409">
      <w:bodyDiv w:val="1"/>
      <w:marLeft w:val="0"/>
      <w:marRight w:val="0"/>
      <w:marTop w:val="0"/>
      <w:marBottom w:val="0"/>
      <w:divBdr>
        <w:top w:val="none" w:sz="0" w:space="0" w:color="auto"/>
        <w:left w:val="none" w:sz="0" w:space="0" w:color="auto"/>
        <w:bottom w:val="none" w:sz="0" w:space="0" w:color="auto"/>
        <w:right w:val="none" w:sz="0" w:space="0" w:color="auto"/>
      </w:divBdr>
    </w:div>
    <w:div w:id="1871063673">
      <w:bodyDiv w:val="1"/>
      <w:marLeft w:val="0"/>
      <w:marRight w:val="0"/>
      <w:marTop w:val="0"/>
      <w:marBottom w:val="0"/>
      <w:divBdr>
        <w:top w:val="none" w:sz="0" w:space="0" w:color="auto"/>
        <w:left w:val="none" w:sz="0" w:space="0" w:color="auto"/>
        <w:bottom w:val="none" w:sz="0" w:space="0" w:color="auto"/>
        <w:right w:val="none" w:sz="0" w:space="0" w:color="auto"/>
      </w:divBdr>
    </w:div>
    <w:div w:id="1891261049">
      <w:bodyDiv w:val="1"/>
      <w:marLeft w:val="0"/>
      <w:marRight w:val="0"/>
      <w:marTop w:val="0"/>
      <w:marBottom w:val="0"/>
      <w:divBdr>
        <w:top w:val="none" w:sz="0" w:space="0" w:color="auto"/>
        <w:left w:val="none" w:sz="0" w:space="0" w:color="auto"/>
        <w:bottom w:val="none" w:sz="0" w:space="0" w:color="auto"/>
        <w:right w:val="none" w:sz="0" w:space="0" w:color="auto"/>
      </w:divBdr>
    </w:div>
    <w:div w:id="2008046249">
      <w:bodyDiv w:val="1"/>
      <w:marLeft w:val="0"/>
      <w:marRight w:val="0"/>
      <w:marTop w:val="0"/>
      <w:marBottom w:val="0"/>
      <w:divBdr>
        <w:top w:val="none" w:sz="0" w:space="0" w:color="auto"/>
        <w:left w:val="none" w:sz="0" w:space="0" w:color="auto"/>
        <w:bottom w:val="none" w:sz="0" w:space="0" w:color="auto"/>
        <w:right w:val="none" w:sz="0" w:space="0" w:color="auto"/>
      </w:divBdr>
    </w:div>
    <w:div w:id="2009211430">
      <w:bodyDiv w:val="1"/>
      <w:marLeft w:val="0"/>
      <w:marRight w:val="0"/>
      <w:marTop w:val="0"/>
      <w:marBottom w:val="0"/>
      <w:divBdr>
        <w:top w:val="none" w:sz="0" w:space="0" w:color="auto"/>
        <w:left w:val="none" w:sz="0" w:space="0" w:color="auto"/>
        <w:bottom w:val="none" w:sz="0" w:space="0" w:color="auto"/>
        <w:right w:val="none" w:sz="0" w:space="0" w:color="auto"/>
      </w:divBdr>
    </w:div>
    <w:div w:id="2060476340">
      <w:bodyDiv w:val="1"/>
      <w:marLeft w:val="0"/>
      <w:marRight w:val="0"/>
      <w:marTop w:val="0"/>
      <w:marBottom w:val="0"/>
      <w:divBdr>
        <w:top w:val="none" w:sz="0" w:space="0" w:color="auto"/>
        <w:left w:val="none" w:sz="0" w:space="0" w:color="auto"/>
        <w:bottom w:val="none" w:sz="0" w:space="0" w:color="auto"/>
        <w:right w:val="none" w:sz="0" w:space="0" w:color="auto"/>
      </w:divBdr>
    </w:div>
    <w:div w:id="2119762245">
      <w:bodyDiv w:val="1"/>
      <w:marLeft w:val="0"/>
      <w:marRight w:val="0"/>
      <w:marTop w:val="0"/>
      <w:marBottom w:val="0"/>
      <w:divBdr>
        <w:top w:val="none" w:sz="0" w:space="0" w:color="auto"/>
        <w:left w:val="none" w:sz="0" w:space="0" w:color="auto"/>
        <w:bottom w:val="none" w:sz="0" w:space="0" w:color="auto"/>
        <w:right w:val="none" w:sz="0" w:space="0" w:color="auto"/>
      </w:divBdr>
    </w:div>
    <w:div w:id="2133404460">
      <w:bodyDiv w:val="1"/>
      <w:marLeft w:val="0"/>
      <w:marRight w:val="0"/>
      <w:marTop w:val="0"/>
      <w:marBottom w:val="0"/>
      <w:divBdr>
        <w:top w:val="none" w:sz="0" w:space="0" w:color="auto"/>
        <w:left w:val="none" w:sz="0" w:space="0" w:color="auto"/>
        <w:bottom w:val="none" w:sz="0" w:space="0" w:color="auto"/>
        <w:right w:val="none" w:sz="0" w:space="0" w:color="auto"/>
      </w:divBdr>
    </w:div>
    <w:div w:id="2136630875">
      <w:bodyDiv w:val="1"/>
      <w:marLeft w:val="0"/>
      <w:marRight w:val="0"/>
      <w:marTop w:val="0"/>
      <w:marBottom w:val="0"/>
      <w:divBdr>
        <w:top w:val="none" w:sz="0" w:space="0" w:color="auto"/>
        <w:left w:val="none" w:sz="0" w:space="0" w:color="auto"/>
        <w:bottom w:val="none" w:sz="0" w:space="0" w:color="auto"/>
        <w:right w:val="none" w:sz="0" w:space="0" w:color="auto"/>
      </w:divBdr>
      <w:divsChild>
        <w:div w:id="1032877694">
          <w:marLeft w:val="547"/>
          <w:marRight w:val="0"/>
          <w:marTop w:val="115"/>
          <w:marBottom w:val="0"/>
          <w:divBdr>
            <w:top w:val="none" w:sz="0" w:space="0" w:color="auto"/>
            <w:left w:val="none" w:sz="0" w:space="0" w:color="auto"/>
            <w:bottom w:val="none" w:sz="0" w:space="0" w:color="auto"/>
            <w:right w:val="none" w:sz="0" w:space="0" w:color="auto"/>
          </w:divBdr>
        </w:div>
        <w:div w:id="1941789605">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436B27-D06D-4A63-9B36-B31D695FE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5435</Words>
  <Characters>30980</Characters>
  <Application>Microsoft Office Word</Application>
  <DocSecurity>0</DocSecurity>
  <Lines>258</Lines>
  <Paragraphs>72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CV-K85</dc:creator>
  <cp:lastModifiedBy>Admin</cp:lastModifiedBy>
  <cp:revision>5</cp:revision>
  <cp:lastPrinted>2025-07-27T03:08:00Z</cp:lastPrinted>
  <dcterms:created xsi:type="dcterms:W3CDTF">2026-02-25T01:40:00Z</dcterms:created>
  <dcterms:modified xsi:type="dcterms:W3CDTF">2026-02-25T02:09:00Z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c4939dd5-a36f-47b4-91b7-4babdedd3b1c</vt:lpwstr>
  </property>
</Properties>
</file>